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98" w:rsidRDefault="00316798" w:rsidP="00316798">
      <w:pPr>
        <w:pStyle w:val="Balk2"/>
        <w:jc w:val="left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316798" w:rsidRDefault="00316798" w:rsidP="00316798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  <w:bookmarkStart w:id="1" w:name="_GoBack"/>
      <w:bookmarkEnd w:id="1"/>
    </w:p>
    <w:p w:rsidR="00316798" w:rsidRDefault="00316798" w:rsidP="00316798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316798" w:rsidRDefault="00316798" w:rsidP="00316798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316798" w:rsidRDefault="00316798" w:rsidP="00316798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316798" w:rsidRDefault="00316798" w:rsidP="00316798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316798" w:rsidRDefault="00316798" w:rsidP="00316798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316798" w:rsidRDefault="00316798" w:rsidP="00316798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316798" w:rsidRDefault="00316798" w:rsidP="00316798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316798" w:rsidRDefault="00316798" w:rsidP="00316798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316798" w:rsidRDefault="00316798" w:rsidP="00316798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316798" w:rsidRDefault="00316798" w:rsidP="00316798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316798" w:rsidRDefault="00316798" w:rsidP="00316798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316798" w:rsidRDefault="00316798" w:rsidP="00316798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04233B" w:rsidRDefault="00316798"/>
    <w:p w:rsidR="00316798" w:rsidRDefault="00316798"/>
    <w:p w:rsidR="00D90FCF" w:rsidRDefault="00D90FCF"/>
    <w:p w:rsidR="00D90FCF" w:rsidRDefault="00D90FCF"/>
    <w:p w:rsidR="00D90FCF" w:rsidRDefault="00D90FCF"/>
    <w:p w:rsidR="00D90FCF" w:rsidRDefault="00D90FCF"/>
    <w:p w:rsidR="00D90FCF" w:rsidRDefault="00D90FCF"/>
    <w:p w:rsidR="00D90FCF" w:rsidRDefault="00D90FCF"/>
    <w:p w:rsidR="00D90FCF" w:rsidRPr="00705F48" w:rsidRDefault="00D90FCF" w:rsidP="00D90FCF">
      <w:pPr>
        <w:pStyle w:val="Balk2"/>
        <w:rPr>
          <w:sz w:val="36"/>
          <w:szCs w:val="36"/>
        </w:rPr>
      </w:pPr>
      <w:bookmarkStart w:id="2" w:name="_Toc444673090"/>
      <w:bookmarkStart w:id="3" w:name="_Toc507958189"/>
      <w:r w:rsidRPr="00705F48">
        <w:rPr>
          <w:sz w:val="36"/>
          <w:szCs w:val="36"/>
        </w:rPr>
        <w:lastRenderedPageBreak/>
        <w:t>MTA Ege Bölge Müdürlüğü Aydın İl</w:t>
      </w:r>
      <w:bookmarkStart w:id="4" w:name="_Toc444673091"/>
      <w:bookmarkEnd w:id="2"/>
      <w:r>
        <w:rPr>
          <w:sz w:val="36"/>
          <w:szCs w:val="36"/>
        </w:rPr>
        <w:t>i</w:t>
      </w:r>
      <w:r w:rsidRPr="00705F48">
        <w:rPr>
          <w:sz w:val="36"/>
          <w:szCs w:val="36"/>
        </w:rPr>
        <w:t xml:space="preserve"> 2019 Yılı Yıllık Yatırım Faaliyetleri İcmal Raporu</w:t>
      </w:r>
      <w:bookmarkEnd w:id="3"/>
      <w:bookmarkEnd w:id="4"/>
    </w:p>
    <w:p w:rsidR="00D90FCF" w:rsidRPr="00705F48" w:rsidRDefault="00D90FCF" w:rsidP="00D90FCF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W w:w="145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3829"/>
        <w:gridCol w:w="7051"/>
      </w:tblGrid>
      <w:tr w:rsidR="00D90FCF" w:rsidRPr="00705F48" w:rsidTr="00DF3985">
        <w:trPr>
          <w:trHeight w:val="355"/>
        </w:trPr>
        <w:tc>
          <w:tcPr>
            <w:tcW w:w="14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kern w:val="24"/>
                <w:sz w:val="22"/>
                <w:szCs w:val="22"/>
              </w:rPr>
              <w:t>AYDIN İLİ 201</w:t>
            </w:r>
            <w:r>
              <w:rPr>
                <w:b/>
                <w:bCs/>
                <w:kern w:val="24"/>
                <w:sz w:val="22"/>
                <w:szCs w:val="22"/>
              </w:rPr>
              <w:t>9</w:t>
            </w:r>
            <w:r w:rsidRPr="00705F48">
              <w:rPr>
                <w:b/>
                <w:bCs/>
                <w:kern w:val="24"/>
                <w:sz w:val="22"/>
                <w:szCs w:val="22"/>
              </w:rPr>
              <w:t xml:space="preserve"> YILI MTA EGE BÖLGE MÜDÜRLÜĞÜ KURUMSAL YATIRIM DEĞERLENDİRMESİ (TL)</w:t>
            </w:r>
          </w:p>
        </w:tc>
      </w:tr>
      <w:tr w:rsidR="00D90FCF" w:rsidRPr="00705F48" w:rsidTr="00DF3985">
        <w:trPr>
          <w:trHeight w:val="273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99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73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09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73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PROJELERDE KULLANILANFİNASMAN KAYNAKLARI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2019 Yılı Merkezi Bütçe Tahsisi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2019 Yılı İç Kredi Tutarı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2019 Yılı Dış Kredi Tutarı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2019 Yılı Öz Kaynak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2019 Yıl Hibe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33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92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66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92"/>
        </w:trPr>
        <w:tc>
          <w:tcPr>
            <w:tcW w:w="7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0FCF" w:rsidRPr="00705F48" w:rsidRDefault="00D90FCF" w:rsidP="00D90FCF">
      <w:pPr>
        <w:pStyle w:val="Default"/>
        <w:jc w:val="right"/>
        <w:rPr>
          <w:b/>
          <w:color w:val="FF0000"/>
          <w:sz w:val="22"/>
          <w:szCs w:val="22"/>
        </w:rPr>
      </w:pPr>
    </w:p>
    <w:p w:rsidR="00D90FCF" w:rsidRPr="00705F48" w:rsidRDefault="00D90FCF" w:rsidP="00D90FCF">
      <w:pPr>
        <w:pStyle w:val="Default"/>
        <w:jc w:val="right"/>
        <w:rPr>
          <w:b/>
          <w:color w:val="FF0000"/>
          <w:sz w:val="22"/>
          <w:szCs w:val="22"/>
        </w:rPr>
      </w:pPr>
    </w:p>
    <w:p w:rsidR="00D90FCF" w:rsidRPr="00705F48" w:rsidRDefault="00D90FCF" w:rsidP="00D90FCF">
      <w:pPr>
        <w:pStyle w:val="Default"/>
        <w:jc w:val="right"/>
        <w:rPr>
          <w:b/>
          <w:color w:val="FF0000"/>
          <w:sz w:val="22"/>
          <w:szCs w:val="22"/>
        </w:rPr>
      </w:pPr>
    </w:p>
    <w:p w:rsidR="00D90FCF" w:rsidRPr="00705F48" w:rsidRDefault="00D90FCF" w:rsidP="00D90FCF">
      <w:pPr>
        <w:pStyle w:val="Default"/>
        <w:jc w:val="right"/>
        <w:rPr>
          <w:b/>
          <w:color w:val="FF0000"/>
          <w:sz w:val="22"/>
          <w:szCs w:val="22"/>
        </w:rPr>
      </w:pPr>
    </w:p>
    <w:p w:rsidR="00D90FCF" w:rsidRDefault="00D90FCF" w:rsidP="00D90FCF">
      <w:pPr>
        <w:pStyle w:val="Balk2"/>
      </w:pPr>
      <w:bookmarkStart w:id="5" w:name="_Toc507958190"/>
    </w:p>
    <w:p w:rsidR="00D90FCF" w:rsidRPr="00705F48" w:rsidRDefault="00D90FCF" w:rsidP="00D90FCF">
      <w:pPr>
        <w:pStyle w:val="Balk2"/>
      </w:pPr>
      <w:r w:rsidRPr="00705F48">
        <w:lastRenderedPageBreak/>
        <w:t>2019 Yılı MTA Ege Bölge Müdürlüğü Aydın İli Yatırımları</w:t>
      </w:r>
      <w:bookmarkEnd w:id="5"/>
    </w:p>
    <w:p w:rsidR="00D90FCF" w:rsidRPr="00705F48" w:rsidRDefault="00D90FCF" w:rsidP="00D90FCF">
      <w:pPr>
        <w:pStyle w:val="Default"/>
        <w:rPr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6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963"/>
        <w:gridCol w:w="1445"/>
        <w:gridCol w:w="1275"/>
        <w:gridCol w:w="1351"/>
        <w:gridCol w:w="1201"/>
        <w:gridCol w:w="1417"/>
        <w:gridCol w:w="876"/>
        <w:gridCol w:w="1534"/>
        <w:gridCol w:w="1209"/>
        <w:gridCol w:w="1418"/>
      </w:tblGrid>
      <w:tr w:rsidR="00D90FCF" w:rsidRPr="00705F48" w:rsidTr="00DF3985">
        <w:trPr>
          <w:trHeight w:val="275"/>
        </w:trPr>
        <w:tc>
          <w:tcPr>
            <w:tcW w:w="15238" w:type="dxa"/>
            <w:gridSpan w:val="11"/>
            <w:shd w:val="clear" w:color="auto" w:fill="FABF8F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kern w:val="24"/>
                <w:sz w:val="22"/>
                <w:szCs w:val="22"/>
              </w:rPr>
              <w:t xml:space="preserve">Aydın İli MTA Ege Bölge Müdürlüğü 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2019 </w:t>
            </w:r>
            <w:r w:rsidRPr="00705F48">
              <w:rPr>
                <w:b/>
                <w:bCs/>
                <w:kern w:val="24"/>
                <w:sz w:val="22"/>
                <w:szCs w:val="22"/>
              </w:rPr>
              <w:t>Yılı Yatırımları (TL)</w:t>
            </w:r>
          </w:p>
        </w:tc>
      </w:tr>
      <w:tr w:rsidR="00D90FCF" w:rsidRPr="00705F48" w:rsidTr="00DF3985">
        <w:trPr>
          <w:trHeight w:val="508"/>
        </w:trPr>
        <w:tc>
          <w:tcPr>
            <w:tcW w:w="2549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963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445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3827" w:type="dxa"/>
            <w:gridSpan w:val="3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705F48">
              <w:rPr>
                <w:b/>
                <w:bCs/>
                <w:sz w:val="22"/>
                <w:szCs w:val="22"/>
              </w:rPr>
              <w:t xml:space="preserve"> Yılı Ödeneği</w:t>
            </w:r>
          </w:p>
        </w:tc>
        <w:tc>
          <w:tcPr>
            <w:tcW w:w="876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534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1209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8" w:type="dxa"/>
            <w:vMerge w:val="restart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D90FCF" w:rsidRPr="00705F48" w:rsidTr="00DF3985">
        <w:trPr>
          <w:trHeight w:val="508"/>
        </w:trPr>
        <w:tc>
          <w:tcPr>
            <w:tcW w:w="2549" w:type="dxa"/>
            <w:vMerge/>
            <w:shd w:val="clear" w:color="auto" w:fill="FDE9D9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FDE9D9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Merge/>
            <w:shd w:val="clear" w:color="auto" w:fill="FDE9D9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351" w:type="dxa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Fiziki Gerçekleşme</w:t>
            </w:r>
          </w:p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 xml:space="preserve"> (%)</w:t>
            </w:r>
            <w:r w:rsidRPr="00705F48">
              <w:rPr>
                <w:b/>
                <w:bCs/>
                <w:color w:val="FF0000"/>
                <w:sz w:val="22"/>
                <w:szCs w:val="22"/>
              </w:rPr>
              <w:t>**</w:t>
            </w:r>
          </w:p>
        </w:tc>
        <w:tc>
          <w:tcPr>
            <w:tcW w:w="1201" w:type="dxa"/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>Nakdi Gerçekleşme</w:t>
            </w:r>
          </w:p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  <w:r w:rsidRPr="00705F48">
              <w:rPr>
                <w:b/>
                <w:bCs/>
                <w:sz w:val="22"/>
                <w:szCs w:val="22"/>
              </w:rPr>
              <w:t xml:space="preserve"> (%)</w:t>
            </w:r>
            <w:r w:rsidRPr="00705F48">
              <w:rPr>
                <w:b/>
                <w:bCs/>
                <w:color w:val="FF0000"/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  <w:vMerge/>
            <w:shd w:val="clear" w:color="auto" w:fill="FDE9D9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shd w:val="clear" w:color="auto" w:fill="FDE9D9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vMerge/>
            <w:shd w:val="clear" w:color="auto" w:fill="FDE9D9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90"/>
        </w:trPr>
        <w:tc>
          <w:tcPr>
            <w:tcW w:w="2549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6" w:type="dxa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90FCF" w:rsidRPr="00705F48" w:rsidRDefault="00D90FCF" w:rsidP="00DF3985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90FCF" w:rsidRPr="00705F48" w:rsidRDefault="00D90FCF" w:rsidP="00D90FCF">
      <w:pPr>
        <w:pStyle w:val="Default"/>
        <w:rPr>
          <w:b/>
          <w:color w:val="FF0000"/>
          <w:sz w:val="22"/>
          <w:szCs w:val="22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36"/>
          <w:szCs w:val="36"/>
        </w:rPr>
      </w:pPr>
    </w:p>
    <w:p w:rsidR="00D90FCF" w:rsidRPr="00705F48" w:rsidRDefault="00D90FCF" w:rsidP="00D90FCF">
      <w:pPr>
        <w:pStyle w:val="Balk2"/>
      </w:pPr>
      <w:bookmarkStart w:id="6" w:name="_Toc507958191"/>
      <w:r w:rsidRPr="00705F48">
        <w:lastRenderedPageBreak/>
        <w:t>31/12/2019 Tarihi İtibariyle 2020 Yılına Devredilen İş Ve Ödenek İcmal Tablosu</w:t>
      </w:r>
      <w:bookmarkEnd w:id="6"/>
    </w:p>
    <w:p w:rsidR="00D90FCF" w:rsidRPr="00705F48" w:rsidRDefault="00D90FCF" w:rsidP="00D90FCF">
      <w:pPr>
        <w:jc w:val="center"/>
        <w:rPr>
          <w:b/>
          <w:bCs/>
          <w:color w:val="C00000"/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W w:w="14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52"/>
        <w:gridCol w:w="1855"/>
        <w:gridCol w:w="2709"/>
        <w:gridCol w:w="1284"/>
        <w:gridCol w:w="1996"/>
        <w:gridCol w:w="1879"/>
      </w:tblGrid>
      <w:tr w:rsidR="00D90FCF" w:rsidRPr="00705F48" w:rsidTr="00DF3985">
        <w:trPr>
          <w:trHeight w:val="365"/>
        </w:trPr>
        <w:tc>
          <w:tcPr>
            <w:tcW w:w="1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 xml:space="preserve">Enerji ve Tabii Kaynaklar Bakanlığı – MTA Genel Müdürlüğü/ AYDIN İli </w:t>
            </w:r>
          </w:p>
        </w:tc>
      </w:tr>
      <w:tr w:rsidR="00D90FCF" w:rsidRPr="00705F48" w:rsidTr="00DF3985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CF" w:rsidRPr="00705F48" w:rsidRDefault="00D90FCF" w:rsidP="00DF398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D90FCF" w:rsidRPr="00705F48" w:rsidRDefault="00D90FCF" w:rsidP="00D90FCF">
      <w:pPr>
        <w:pStyle w:val="Default"/>
        <w:rPr>
          <w:bCs/>
          <w:sz w:val="22"/>
          <w:szCs w:val="22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Pr="00705F48" w:rsidRDefault="00D90FCF" w:rsidP="00D90FCF">
      <w:pPr>
        <w:pStyle w:val="Default"/>
        <w:rPr>
          <w:b/>
          <w:bCs/>
          <w:color w:val="984806"/>
          <w:sz w:val="22"/>
          <w:szCs w:val="22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D90FCF" w:rsidRPr="00705F48" w:rsidRDefault="00D90FCF" w:rsidP="00D90FCF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D90FCF" w:rsidRDefault="00D90FCF" w:rsidP="00D90FCF">
      <w:pPr>
        <w:pStyle w:val="Balk2"/>
        <w:rPr>
          <w:sz w:val="36"/>
          <w:szCs w:val="36"/>
        </w:rPr>
      </w:pPr>
      <w:bookmarkStart w:id="7" w:name="_Toc444673092"/>
      <w:bookmarkStart w:id="8" w:name="_Toc507958192"/>
    </w:p>
    <w:p w:rsidR="00D90FCF" w:rsidRDefault="00D90FCF" w:rsidP="00D90FCF">
      <w:pPr>
        <w:pStyle w:val="Balk2"/>
        <w:rPr>
          <w:sz w:val="36"/>
          <w:szCs w:val="36"/>
        </w:rPr>
      </w:pPr>
    </w:p>
    <w:p w:rsidR="00D90FCF" w:rsidRDefault="00D90FCF" w:rsidP="00D90FCF">
      <w:pPr>
        <w:pStyle w:val="Balk2"/>
        <w:rPr>
          <w:sz w:val="36"/>
          <w:szCs w:val="36"/>
        </w:rPr>
      </w:pPr>
      <w:r w:rsidRPr="00705F48">
        <w:rPr>
          <w:sz w:val="36"/>
          <w:szCs w:val="36"/>
        </w:rPr>
        <w:t>Faaliyet Değerlendirme Raporu Tablosu</w:t>
      </w:r>
      <w:bookmarkEnd w:id="7"/>
      <w:bookmarkEnd w:id="8"/>
    </w:p>
    <w:p w:rsidR="00D90FCF" w:rsidRDefault="00D90FCF" w:rsidP="00D90FCF"/>
    <w:p w:rsidR="00D90FCF" w:rsidRPr="00DC6087" w:rsidRDefault="00D90FCF" w:rsidP="00D90FCF"/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3"/>
        <w:gridCol w:w="6544"/>
        <w:gridCol w:w="1923"/>
        <w:gridCol w:w="5850"/>
      </w:tblGrid>
      <w:tr w:rsidR="00D90FCF" w:rsidRPr="00705F48" w:rsidTr="00DF3985">
        <w:trPr>
          <w:trHeight w:val="615"/>
          <w:jc w:val="center"/>
        </w:trPr>
        <w:tc>
          <w:tcPr>
            <w:tcW w:w="7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14" w:lineRule="atLeast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pStyle w:val="AralkYok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 xml:space="preserve">Maden Tetkik ve Arama Genel Müdürlüğü’nün 2015-2019 Dönemi Stratejik Planı </w:t>
            </w:r>
          </w:p>
          <w:p w:rsidR="00D90FCF" w:rsidRPr="00705F48" w:rsidRDefault="00D90FCF" w:rsidP="00DF3985">
            <w:pPr>
              <w:pStyle w:val="AralkYok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>2019 Yılı Performans Programı</w:t>
            </w:r>
          </w:p>
        </w:tc>
      </w:tr>
      <w:tr w:rsidR="00D90FCF" w:rsidRPr="00705F48" w:rsidTr="00DF3985">
        <w:trPr>
          <w:trHeight w:val="648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 w:rsidRPr="00705F48">
              <w:rPr>
                <w:rFonts w:eastAsia="Calibri"/>
                <w:b/>
                <w:bCs/>
                <w:lang w:eastAsia="en-US"/>
              </w:rPr>
              <w:t>Stratejik Amaç 1.</w:t>
            </w:r>
            <w:r w:rsidRPr="00705F48">
              <w:rPr>
                <w:rFonts w:eastAsia="Calibri"/>
                <w:lang w:eastAsia="en-US"/>
              </w:rPr>
              <w:t xml:space="preserve"> Ülkemizin ihtiyaçları doğrultusunda karada ve denizlerde yer bilimleri alanında bilgi üreterek yer kabuğunun anlaşılmasını ve verimli kullanılmasını sağlamak</w:t>
            </w:r>
          </w:p>
        </w:tc>
      </w:tr>
      <w:tr w:rsidR="00D90FCF" w:rsidRPr="00705F48" w:rsidTr="00DF3985">
        <w:trPr>
          <w:trHeight w:val="3013"/>
          <w:jc w:val="center"/>
        </w:trPr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Default"/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>
              <w:t>1</w:t>
            </w:r>
            <w:r w:rsidRPr="001A19C6">
              <w:rPr>
                <w:b/>
              </w:rPr>
              <w:t>.</w:t>
            </w:r>
            <w:r>
              <w:t xml:space="preserve"> </w:t>
            </w:r>
            <w:r w:rsidRPr="00705F48">
              <w:t>Jeolojik oluşumları ve olayları açıklamaya yönelik bilimsel araştırmalar gerçekleştirmek</w:t>
            </w:r>
          </w:p>
          <w:p w:rsidR="00D90FCF" w:rsidRPr="00705F48" w:rsidRDefault="00D90FCF" w:rsidP="00DF3985">
            <w:pPr>
              <w:pStyle w:val="Default"/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 w:rsidRPr="00705F48">
              <w:rPr>
                <w:b/>
              </w:rPr>
              <w:t>2</w:t>
            </w:r>
            <w:r>
              <w:rPr>
                <w:b/>
              </w:rPr>
              <w:t>.</w:t>
            </w:r>
            <w:r w:rsidRPr="00705F48">
              <w:t xml:space="preserve"> Optik algılayıcılar kullanılarak maden, jeotermal, doğal afet, çevre kirliliği vb. amaçlı 700.000 km2 </w:t>
            </w:r>
            <w:proofErr w:type="spellStart"/>
            <w:r w:rsidRPr="00705F48">
              <w:t>lik</w:t>
            </w:r>
            <w:proofErr w:type="spellEnd"/>
            <w:r w:rsidRPr="00705F48">
              <w:t xml:space="preserve"> uzaktan algılama çalışması gerçekleştirmek</w:t>
            </w:r>
          </w:p>
          <w:p w:rsidR="00D90FCF" w:rsidRPr="00705F48" w:rsidRDefault="00D90FCF" w:rsidP="00DF3985">
            <w:pPr>
              <w:pStyle w:val="Default"/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705F48">
              <w:rPr>
                <w:b/>
              </w:rPr>
              <w:t xml:space="preserve"> </w:t>
            </w:r>
            <w:r w:rsidRPr="00705F48">
              <w:t>Yer bilim kaynaklı doğal afet zararlarını azaltmaya yönelik çalışmaları her yıl %25 oranında artırmak</w:t>
            </w:r>
          </w:p>
          <w:p w:rsidR="00D90FCF" w:rsidRPr="00705F48" w:rsidRDefault="00D90FCF" w:rsidP="00DF3985">
            <w:pPr>
              <w:pStyle w:val="Default"/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 w:rsidRPr="00705F48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705F48">
              <w:t xml:space="preserve">Mağaraların ve karst ekosistemlerinin koruma ve kullanım yöntemlerini belirlemek ve </w:t>
            </w:r>
            <w:proofErr w:type="gramStart"/>
            <w:r w:rsidRPr="00705F48">
              <w:t>envanterini</w:t>
            </w:r>
            <w:proofErr w:type="gramEnd"/>
            <w:r w:rsidRPr="00705F48">
              <w:t xml:space="preserve"> oluşturmak</w:t>
            </w:r>
          </w:p>
          <w:p w:rsidR="00D90FCF" w:rsidRPr="00705F48" w:rsidRDefault="00D90FCF" w:rsidP="00DF3985">
            <w:pPr>
              <w:pStyle w:val="Default"/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 w:rsidRPr="00705F48">
              <w:rPr>
                <w:b/>
              </w:rPr>
              <w:t>5.</w:t>
            </w:r>
            <w:r w:rsidRPr="00705F48">
              <w:t xml:space="preserve"> Uluslararası standartlarda sayısal yer bilimleri veri tabanı oluşturmak</w:t>
            </w:r>
          </w:p>
          <w:p w:rsidR="00D90FCF" w:rsidRPr="00705F48" w:rsidRDefault="00D90FCF" w:rsidP="00DF3985">
            <w:pPr>
              <w:pStyle w:val="Default"/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 w:rsidRPr="00705F48">
              <w:rPr>
                <w:b/>
              </w:rPr>
              <w:t>6.</w:t>
            </w:r>
            <w:r w:rsidRPr="00705F48">
              <w:t xml:space="preserve"> Farklı amaç ve ölçeklerde yer bilimleri haritası hazırlamak ve basmak</w:t>
            </w:r>
          </w:p>
          <w:p w:rsidR="00D90FCF" w:rsidRPr="00705F48" w:rsidRDefault="00D90FCF" w:rsidP="00DF3985">
            <w:pPr>
              <w:pStyle w:val="Default"/>
              <w:rPr>
                <w:rFonts w:eastAsiaTheme="minorHAnsi"/>
                <w:bCs/>
                <w:lang w:eastAsia="en-US"/>
              </w:rPr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 w:rsidRPr="00705F48">
              <w:rPr>
                <w:rFonts w:eastAsiaTheme="minorHAnsi"/>
                <w:b/>
                <w:bCs/>
                <w:lang w:eastAsia="en-US"/>
              </w:rPr>
              <w:t>7.</w:t>
            </w:r>
            <w:r w:rsidRPr="00705F48">
              <w:rPr>
                <w:rFonts w:eastAsiaTheme="minorHAnsi"/>
                <w:bCs/>
                <w:lang w:eastAsia="en-US"/>
              </w:rPr>
              <w:t xml:space="preserve"> Havadan </w:t>
            </w:r>
            <w:proofErr w:type="spellStart"/>
            <w:r w:rsidRPr="00705F48">
              <w:rPr>
                <w:rFonts w:eastAsiaTheme="minorHAnsi"/>
                <w:bCs/>
                <w:lang w:eastAsia="en-US"/>
              </w:rPr>
              <w:t>rejyonal</w:t>
            </w:r>
            <w:proofErr w:type="spellEnd"/>
            <w:r w:rsidRPr="00705F48">
              <w:rPr>
                <w:rFonts w:eastAsiaTheme="minorHAnsi"/>
                <w:bCs/>
                <w:lang w:eastAsia="en-US"/>
              </w:rPr>
              <w:t xml:space="preserve"> manyetik verileri yenilemek ve aynı zamanda havadan </w:t>
            </w:r>
            <w:proofErr w:type="spellStart"/>
            <w:r w:rsidRPr="00705F48">
              <w:rPr>
                <w:rFonts w:eastAsiaTheme="minorHAnsi"/>
                <w:bCs/>
                <w:lang w:eastAsia="en-US"/>
              </w:rPr>
              <w:t>gravite</w:t>
            </w:r>
            <w:proofErr w:type="spellEnd"/>
            <w:r w:rsidRPr="00705F48">
              <w:rPr>
                <w:rFonts w:eastAsiaTheme="minorHAnsi"/>
                <w:bCs/>
                <w:lang w:eastAsia="en-US"/>
              </w:rPr>
              <w:t xml:space="preserve"> ve spektrometre ölçümleri yapmak</w:t>
            </w:r>
          </w:p>
          <w:p w:rsidR="00D90FCF" w:rsidRPr="00705F48" w:rsidRDefault="00D90FCF" w:rsidP="00DF3985">
            <w:pPr>
              <w:pStyle w:val="Default"/>
              <w:rPr>
                <w:rFonts w:eastAsiaTheme="minorHAnsi"/>
                <w:bCs/>
                <w:lang w:eastAsia="en-US"/>
              </w:rPr>
            </w:pPr>
            <w:r>
              <w:rPr>
                <w:b/>
              </w:rPr>
              <w:t xml:space="preserve">Hedef </w:t>
            </w:r>
            <w:r w:rsidRPr="00705F48">
              <w:rPr>
                <w:b/>
              </w:rPr>
              <w:t>1</w:t>
            </w:r>
            <w:r w:rsidRPr="001A19C6">
              <w:rPr>
                <w:b/>
              </w:rPr>
              <w:t>.</w:t>
            </w:r>
            <w:r w:rsidRPr="00705F48">
              <w:rPr>
                <w:rFonts w:eastAsiaTheme="minorHAnsi"/>
                <w:b/>
                <w:bCs/>
                <w:lang w:eastAsia="en-US"/>
              </w:rPr>
              <w:t>8.</w:t>
            </w:r>
            <w:r w:rsidRPr="00705F48">
              <w:rPr>
                <w:rFonts w:eastAsiaTheme="minorHAnsi"/>
                <w:bCs/>
                <w:lang w:eastAsia="en-US"/>
              </w:rPr>
              <w:t xml:space="preserve"> Akdeniz/Karadeniz öncelikli olmak üzere tüm denizlerimizde ve uluslararası sularda doğal kaynakların araştırılması, doğal afetler, iklim değişikliği, kıyı ve çevrenin korunması ve etkin kullanımına yönelik jeolojik, jeofizik, hidrografik ve </w:t>
            </w:r>
            <w:proofErr w:type="spellStart"/>
            <w:r w:rsidRPr="00705F48">
              <w:rPr>
                <w:rFonts w:eastAsiaTheme="minorHAnsi"/>
                <w:bCs/>
                <w:lang w:eastAsia="en-US"/>
              </w:rPr>
              <w:t>oşinografik</w:t>
            </w:r>
            <w:proofErr w:type="spellEnd"/>
            <w:r w:rsidRPr="00705F48">
              <w:rPr>
                <w:rFonts w:eastAsiaTheme="minorHAnsi"/>
                <w:bCs/>
                <w:lang w:eastAsia="en-US"/>
              </w:rPr>
              <w:t xml:space="preserve"> araştırmalar yapılarak alt yapı bilgileri üretmek</w:t>
            </w:r>
          </w:p>
        </w:tc>
      </w:tr>
      <w:tr w:rsidR="00D90FCF" w:rsidRPr="00705F48" w:rsidTr="00DF3985">
        <w:trPr>
          <w:trHeight w:val="406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1F5127" w:rsidRDefault="00D90FCF" w:rsidP="00DF3985">
            <w:r w:rsidRPr="00705F48">
              <w:rPr>
                <w:rFonts w:eastAsia="Calibri"/>
                <w:b/>
                <w:lang w:eastAsia="en-US"/>
              </w:rPr>
              <w:t>Performans Hedefi 1.</w:t>
            </w:r>
            <w:r w:rsidRPr="00705F48">
              <w:t xml:space="preserve"> Karada ve denizlerde jeolojik oluşumları ve olayları açıklamaya yönelik bilimsel araştırmalar gerçekleştirmek</w:t>
            </w:r>
          </w:p>
        </w:tc>
      </w:tr>
      <w:tr w:rsidR="00D90FCF" w:rsidRPr="00705F48" w:rsidTr="00DF3985">
        <w:trPr>
          <w:trHeight w:val="6235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Performans Göstergesi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1. </w:t>
            </w:r>
            <w:r w:rsidRPr="00705F48">
              <w:rPr>
                <w:rFonts w:eastAsiaTheme="minorHAnsi"/>
                <w:szCs w:val="22"/>
                <w:lang w:eastAsia="en-US"/>
              </w:rPr>
              <w:t>Jeolojik detay etüt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>/yıl  (12.000)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2. 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Jeolojik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prospeksiyon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>/yıl  ( 72.200)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3. </w:t>
            </w:r>
            <w:r w:rsidRPr="00705F48">
              <w:rPr>
                <w:rFonts w:eastAsiaTheme="minorHAnsi"/>
                <w:szCs w:val="22"/>
                <w:lang w:eastAsia="en-US"/>
              </w:rPr>
              <w:t>Uzaktan algılama analizi yapılan alan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>/yıl</w:t>
            </w: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   (</w:t>
            </w:r>
            <w:r w:rsidRPr="00705F48">
              <w:rPr>
                <w:rFonts w:eastAsiaTheme="minorHAnsi"/>
                <w:szCs w:val="22"/>
                <w:lang w:eastAsia="en-US"/>
              </w:rPr>
              <w:t>353.150)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4.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Paleosismolojik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yüzey etüt km/yıl ( 272)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5. 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Hendekte jeolojik </w:t>
            </w:r>
            <w:proofErr w:type="gramStart"/>
            <w:r w:rsidRPr="00705F48">
              <w:rPr>
                <w:rFonts w:eastAsiaTheme="minorHAnsi"/>
                <w:szCs w:val="22"/>
                <w:lang w:eastAsia="en-US"/>
              </w:rPr>
              <w:t>etüt  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proofErr w:type="gramEnd"/>
            <w:r w:rsidRPr="00705F48">
              <w:rPr>
                <w:rFonts w:eastAsiaTheme="minorHAnsi"/>
                <w:szCs w:val="22"/>
                <w:lang w:eastAsia="en-US"/>
              </w:rPr>
              <w:t xml:space="preserve"> /yıl  (4.800)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6.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Topoğrafik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gramStart"/>
            <w:r w:rsidRPr="00705F48">
              <w:rPr>
                <w:rFonts w:eastAsiaTheme="minorHAnsi"/>
                <w:szCs w:val="22"/>
                <w:lang w:eastAsia="en-US"/>
              </w:rPr>
              <w:t>etüt  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proofErr w:type="gramEnd"/>
            <w:r w:rsidRPr="00705F48">
              <w:rPr>
                <w:rFonts w:eastAsiaTheme="minorHAnsi"/>
                <w:szCs w:val="22"/>
                <w:lang w:eastAsia="en-US"/>
              </w:rPr>
              <w:t>/yıl  (256.250)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7.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Paleosismolojik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araştırma (Hendek) m3/yıl  (18.600)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8.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Basılan pafta sayısı /yıl  (20)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9. </w:t>
            </w:r>
            <w:r w:rsidRPr="00705F48">
              <w:rPr>
                <w:rFonts w:eastAsiaTheme="minorHAnsi"/>
                <w:szCs w:val="22"/>
                <w:lang w:eastAsia="en-US"/>
              </w:rPr>
              <w:t>Sayısallaştırılan pafta sayısı/yıl  (70)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10. </w:t>
            </w:r>
            <w:r w:rsidRPr="00705F48">
              <w:rPr>
                <w:rFonts w:eastAsiaTheme="minorHAnsi"/>
                <w:szCs w:val="22"/>
                <w:lang w:eastAsia="en-US"/>
              </w:rPr>
              <w:t>Yarma 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3</w:t>
            </w:r>
            <w:r w:rsidRPr="00705F48">
              <w:rPr>
                <w:rFonts w:eastAsiaTheme="minorHAnsi"/>
                <w:szCs w:val="22"/>
                <w:lang w:eastAsia="en-US"/>
              </w:rPr>
              <w:t>/yıl  (400)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11. </w:t>
            </w:r>
            <w:r w:rsidRPr="00705F48">
              <w:rPr>
                <w:rFonts w:eastAsiaTheme="minorHAnsi"/>
                <w:szCs w:val="22"/>
                <w:lang w:eastAsia="en-US"/>
              </w:rPr>
              <w:t>Jeofizik etüt nokta/yıl (15.500)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12. </w:t>
            </w:r>
            <w:r w:rsidRPr="00705F48">
              <w:rPr>
                <w:rFonts w:eastAsiaTheme="minorHAnsi"/>
                <w:szCs w:val="22"/>
                <w:lang w:eastAsia="en-US"/>
              </w:rPr>
              <w:t>Kompilasyon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>/yıl  (103.350)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13</w:t>
            </w:r>
            <w:r w:rsidRPr="00705F48">
              <w:rPr>
                <w:rFonts w:eastAsiaTheme="minorHAnsi"/>
                <w:szCs w:val="22"/>
                <w:lang w:eastAsia="en-US"/>
              </w:rPr>
              <w:t>. Sondaj m/yıl (6.000)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14.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Well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Logging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m/yıl  (18.000)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15. </w:t>
            </w:r>
            <w:r w:rsidRPr="00705F48">
              <w:rPr>
                <w:rFonts w:eastAsiaTheme="minorHAnsi"/>
                <w:szCs w:val="22"/>
                <w:lang w:eastAsia="en-US"/>
              </w:rPr>
              <w:t>Jeofizik haritalama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/ yıl  (11.000)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16. </w:t>
            </w:r>
            <w:r w:rsidRPr="00705F48">
              <w:rPr>
                <w:rFonts w:eastAsiaTheme="minorHAnsi"/>
                <w:szCs w:val="22"/>
                <w:lang w:eastAsia="en-US"/>
              </w:rPr>
              <w:t>Revizyon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/yıl</w:t>
            </w: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  <w:r w:rsidRPr="00705F48">
              <w:rPr>
                <w:rFonts w:eastAsiaTheme="minorHAnsi"/>
                <w:szCs w:val="22"/>
                <w:lang w:eastAsia="en-US"/>
              </w:rPr>
              <w:t>(600)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17. </w:t>
            </w:r>
            <w:r w:rsidRPr="00705F48">
              <w:rPr>
                <w:rFonts w:eastAsiaTheme="minorHAnsi"/>
                <w:szCs w:val="22"/>
                <w:lang w:eastAsia="en-US"/>
              </w:rPr>
              <w:t>Havadan Jeofizik Araştırmalar (Alan Tarama) km²/yıl</w:t>
            </w: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 </w:t>
            </w:r>
            <w:r w:rsidRPr="00705F48">
              <w:rPr>
                <w:rFonts w:eastAsiaTheme="minorHAnsi"/>
                <w:szCs w:val="22"/>
                <w:lang w:eastAsia="en-US"/>
              </w:rPr>
              <w:t>(300.000)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18.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Basılan jeofizik haritaları sayısı / yıl (5)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19.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2B Sismik hat uzunluğu km/yıl (5.000)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20.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3B Sismik veri miktarı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>/yıl (3.500)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21.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Gravite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hat uzunluğu km/yıl (5.000)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22.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Manyetik hat uzunluğu km/yıl (5.000)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23.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Tek/çok ışınlı iskandil etüt miktarı km/yıl (8.000)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24.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Yandan taramalı sonar etüt miktarı km/yıl (100)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25.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Akıntı ölçümü etüt miktarı km/yıl (3.500)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26.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Grab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veya ROV ile yapılan jeolojik örnekleme sayısı/yıl (160)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27.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Karot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örnekleme sayısı/yıl (16)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28.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Su örnekleme cihazı veya ROV ile yapılan örnekleme sayısı/yıl (50)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29.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CTD etüdü sayısı/yıl (450)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30.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Çevre Jeolojisi parametrelerinin öğrenilmesine yönelik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Prospeksiyon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km²/yıl (800)</w:t>
            </w:r>
          </w:p>
          <w:p w:rsidR="00D90FCF" w:rsidRPr="00705F48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31.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Faaliyeti sona ermiş açık işletme maden sahası </w:t>
            </w:r>
            <w:proofErr w:type="gramStart"/>
            <w:r w:rsidRPr="00705F48">
              <w:rPr>
                <w:rFonts w:eastAsiaTheme="minorHAnsi"/>
                <w:szCs w:val="22"/>
                <w:lang w:eastAsia="en-US"/>
              </w:rPr>
              <w:t>rehabilitasyon</w:t>
            </w:r>
            <w:proofErr w:type="gramEnd"/>
            <w:r w:rsidRPr="00705F48">
              <w:rPr>
                <w:rFonts w:eastAsiaTheme="minorHAnsi"/>
                <w:szCs w:val="22"/>
                <w:lang w:eastAsia="en-US"/>
              </w:rPr>
              <w:t xml:space="preserve"> proje raporu sayısı/yıl (1)</w:t>
            </w:r>
          </w:p>
          <w:p w:rsidR="00D90FCF" w:rsidRPr="001F5127" w:rsidRDefault="00D90FCF" w:rsidP="00DF3985">
            <w:pPr>
              <w:pStyle w:val="Default"/>
              <w:jc w:val="both"/>
              <w:rPr>
                <w:rFonts w:eastAsiaTheme="minorHAnsi"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32.</w:t>
            </w:r>
            <w:r w:rsidRPr="00705F48">
              <w:rPr>
                <w:rFonts w:eastAsiaTheme="minorHAnsi"/>
                <w:szCs w:val="22"/>
                <w:lang w:eastAsia="en-US"/>
              </w:rPr>
              <w:t xml:space="preserve"> Faaliyeti sona ermiş açık işletme maden sahalarının </w:t>
            </w:r>
            <w:proofErr w:type="gramStart"/>
            <w:r w:rsidRPr="00705F48">
              <w:rPr>
                <w:rFonts w:eastAsiaTheme="minorHAnsi"/>
                <w:szCs w:val="22"/>
                <w:lang w:eastAsia="en-US"/>
              </w:rPr>
              <w:t>rehabilitasyonuna</w:t>
            </w:r>
            <w:proofErr w:type="gramEnd"/>
            <w:r w:rsidRPr="00705F48">
              <w:rPr>
                <w:rFonts w:eastAsiaTheme="minorHAnsi"/>
                <w:szCs w:val="22"/>
                <w:lang w:eastAsia="en-US"/>
              </w:rPr>
              <w:t xml:space="preserve"> yönelik </w:t>
            </w:r>
            <w:proofErr w:type="spellStart"/>
            <w:r w:rsidRPr="00705F48">
              <w:rPr>
                <w:rFonts w:eastAsiaTheme="minorHAnsi"/>
                <w:szCs w:val="22"/>
                <w:lang w:eastAsia="en-US"/>
              </w:rPr>
              <w:t>kompilayson</w:t>
            </w:r>
            <w:proofErr w:type="spellEnd"/>
            <w:r w:rsidRPr="00705F48">
              <w:rPr>
                <w:rFonts w:eastAsiaTheme="minorHAnsi"/>
                <w:szCs w:val="22"/>
                <w:lang w:eastAsia="en-US"/>
              </w:rPr>
              <w:t xml:space="preserve"> km</w:t>
            </w:r>
            <w:r w:rsidRPr="00705F48">
              <w:rPr>
                <w:rFonts w:eastAsiaTheme="minorHAnsi"/>
                <w:szCs w:val="22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szCs w:val="22"/>
                <w:lang w:eastAsia="en-US"/>
              </w:rPr>
              <w:t>/yıl (200)</w:t>
            </w:r>
          </w:p>
        </w:tc>
      </w:tr>
      <w:tr w:rsidR="00D90FCF" w:rsidRPr="00705F48" w:rsidTr="00DF3985">
        <w:trPr>
          <w:trHeight w:val="1544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Faaliyetler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/>
                <w:kern w:val="24"/>
              </w:rPr>
            </w:pPr>
            <w:r w:rsidRPr="00705F48">
              <w:rPr>
                <w:b/>
                <w:color w:val="000000"/>
                <w:kern w:val="24"/>
              </w:rPr>
              <w:t>1</w:t>
            </w:r>
            <w:r>
              <w:rPr>
                <w:b/>
                <w:color w:val="000000"/>
                <w:kern w:val="24"/>
              </w:rPr>
              <w:t xml:space="preserve">. </w:t>
            </w:r>
            <w:r w:rsidRPr="00705F48">
              <w:rPr>
                <w:color w:val="000000"/>
                <w:kern w:val="24"/>
              </w:rPr>
              <w:t>Bilimsel yer bilimleri araştırmaları faaliyeti</w:t>
            </w:r>
          </w:p>
          <w:p w:rsidR="00D90FCF" w:rsidRPr="00705F48" w:rsidRDefault="00D90FCF" w:rsidP="00DF3985">
            <w:pPr>
              <w:rPr>
                <w:color w:val="000000"/>
                <w:kern w:val="24"/>
              </w:rPr>
            </w:pPr>
            <w:r w:rsidRPr="00705F48">
              <w:rPr>
                <w:b/>
                <w:color w:val="000000"/>
                <w:kern w:val="24"/>
              </w:rPr>
              <w:t>2</w:t>
            </w:r>
            <w:r>
              <w:rPr>
                <w:b/>
                <w:color w:val="000000"/>
                <w:kern w:val="24"/>
              </w:rPr>
              <w:t xml:space="preserve">. </w:t>
            </w:r>
            <w:r w:rsidRPr="00705F48">
              <w:rPr>
                <w:color w:val="000000"/>
                <w:kern w:val="24"/>
              </w:rPr>
              <w:t>Veri tabanı hazırlama faaliyeti</w:t>
            </w:r>
          </w:p>
          <w:p w:rsidR="00D90FCF" w:rsidRPr="00705F48" w:rsidRDefault="00D90FCF" w:rsidP="00DF3985">
            <w:pPr>
              <w:rPr>
                <w:color w:val="000000"/>
                <w:kern w:val="24"/>
              </w:rPr>
            </w:pPr>
            <w:r w:rsidRPr="00705F48">
              <w:rPr>
                <w:b/>
                <w:color w:val="000000"/>
                <w:kern w:val="24"/>
              </w:rPr>
              <w:t>3</w:t>
            </w:r>
            <w:r>
              <w:rPr>
                <w:b/>
                <w:color w:val="000000"/>
                <w:kern w:val="24"/>
              </w:rPr>
              <w:t xml:space="preserve">. </w:t>
            </w:r>
            <w:r w:rsidRPr="00705F48">
              <w:rPr>
                <w:color w:val="000000"/>
                <w:kern w:val="24"/>
              </w:rPr>
              <w:t>Harita hazırlama ve basımı faaliyeti</w:t>
            </w:r>
          </w:p>
          <w:p w:rsidR="00D90FCF" w:rsidRPr="00705F48" w:rsidRDefault="00D90FCF" w:rsidP="00DF3985">
            <w:pPr>
              <w:rPr>
                <w:color w:val="000000"/>
                <w:kern w:val="24"/>
              </w:rPr>
            </w:pPr>
            <w:r w:rsidRPr="00705F48">
              <w:rPr>
                <w:b/>
                <w:color w:val="000000"/>
                <w:kern w:val="24"/>
              </w:rPr>
              <w:t>4</w:t>
            </w:r>
            <w:r>
              <w:rPr>
                <w:b/>
                <w:color w:val="000000"/>
                <w:kern w:val="24"/>
              </w:rPr>
              <w:t xml:space="preserve">. </w:t>
            </w:r>
            <w:r w:rsidRPr="00705F48">
              <w:rPr>
                <w:color w:val="000000"/>
                <w:kern w:val="24"/>
              </w:rPr>
              <w:t>Deniz araştırmaları faaliyeti</w:t>
            </w:r>
          </w:p>
          <w:p w:rsidR="00D90FCF" w:rsidRPr="00705F48" w:rsidRDefault="00D90FCF" w:rsidP="00DF3985">
            <w:pPr>
              <w:rPr>
                <w:color w:val="000000"/>
                <w:kern w:val="24"/>
              </w:rPr>
            </w:pPr>
            <w:r w:rsidRPr="00705F48">
              <w:rPr>
                <w:b/>
                <w:color w:val="000000"/>
                <w:kern w:val="24"/>
              </w:rPr>
              <w:t>5</w:t>
            </w:r>
            <w:r>
              <w:rPr>
                <w:b/>
                <w:color w:val="000000"/>
                <w:kern w:val="24"/>
              </w:rPr>
              <w:t xml:space="preserve">. </w:t>
            </w:r>
            <w:r w:rsidRPr="00705F48">
              <w:rPr>
                <w:color w:val="000000"/>
                <w:kern w:val="24"/>
              </w:rPr>
              <w:t>Çevre araştırmaları faaliyeti</w:t>
            </w:r>
          </w:p>
        </w:tc>
      </w:tr>
      <w:tr w:rsidR="00D90FCF" w:rsidRPr="00705F48" w:rsidTr="00DF3985">
        <w:trPr>
          <w:trHeight w:val="110"/>
          <w:jc w:val="center"/>
        </w:trPr>
        <w:tc>
          <w:tcPr>
            <w:tcW w:w="15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FF0000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3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4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5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6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7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8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9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10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11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12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13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14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15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16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17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18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19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20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21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22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23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24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25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26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27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28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29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30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31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52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32</w:t>
            </w:r>
          </w:p>
        </w:tc>
        <w:tc>
          <w:tcPr>
            <w:tcW w:w="14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</w:tr>
      <w:tr w:rsidR="00D90FCF" w:rsidRPr="00705F48" w:rsidTr="00DF3985">
        <w:trPr>
          <w:trHeight w:val="448"/>
          <w:jc w:val="center"/>
        </w:trPr>
        <w:tc>
          <w:tcPr>
            <w:tcW w:w="9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Bilgi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color w:val="FF0000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1</w:t>
            </w:r>
          </w:p>
        </w:tc>
        <w:tc>
          <w:tcPr>
            <w:tcW w:w="8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2</w:t>
            </w:r>
          </w:p>
        </w:tc>
        <w:tc>
          <w:tcPr>
            <w:tcW w:w="8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3</w:t>
            </w:r>
          </w:p>
        </w:tc>
        <w:tc>
          <w:tcPr>
            <w:tcW w:w="8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4</w:t>
            </w:r>
          </w:p>
        </w:tc>
        <w:tc>
          <w:tcPr>
            <w:tcW w:w="8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705F48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5</w:t>
            </w:r>
          </w:p>
        </w:tc>
        <w:tc>
          <w:tcPr>
            <w:tcW w:w="8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/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tbl>
      <w:tblPr>
        <w:tblW w:w="156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401"/>
        <w:gridCol w:w="1923"/>
        <w:gridCol w:w="5865"/>
      </w:tblGrid>
      <w:tr w:rsidR="00D90FCF" w:rsidRPr="00705F48" w:rsidTr="00DF3985">
        <w:trPr>
          <w:trHeight w:val="615"/>
          <w:jc w:val="center"/>
        </w:trPr>
        <w:tc>
          <w:tcPr>
            <w:tcW w:w="7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14" w:lineRule="atLeast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 xml:space="preserve">Maden Tetkik ve Arama Genel Müdürlüğü’nün 2018-2021 Dönemi Stratejik Planı </w:t>
            </w:r>
          </w:p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>2019 Yılı Performans Programı</w:t>
            </w:r>
          </w:p>
        </w:tc>
      </w:tr>
      <w:tr w:rsidR="00D90FCF" w:rsidRPr="00705F48" w:rsidTr="00DF3985">
        <w:trPr>
          <w:trHeight w:val="64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76" w:lineRule="auto"/>
            </w:pPr>
            <w:r w:rsidRPr="00705F48">
              <w:rPr>
                <w:rFonts w:eastAsia="Calibri"/>
                <w:b/>
                <w:bCs/>
                <w:lang w:eastAsia="en-US"/>
              </w:rPr>
              <w:t>Stratejik Amaç 2.</w:t>
            </w:r>
            <w:r w:rsidRPr="00705F48">
              <w:t xml:space="preserve"> </w:t>
            </w:r>
            <w:r w:rsidRPr="00705F48">
              <w:rPr>
                <w:rFonts w:eastAsia="Calibri"/>
                <w:bCs/>
                <w:lang w:eastAsia="en-US"/>
              </w:rPr>
              <w:t>Maden ve Enerji Hammaddelerinde Ulusal ve Uluslararası Üretim, Tüketim, İthalat, İhracat Kriterleri ve Kritik Hammadde Öngörüleri Doğrultusunda Arama ve Araştırma Faaliyetleri Gerçekleştirmek ve Ülkemizdeki Rezerv Güvenilirliğini Sağlamaya Katkıda Bulunmak</w:t>
            </w:r>
          </w:p>
        </w:tc>
      </w:tr>
      <w:tr w:rsidR="00D90FCF" w:rsidRPr="00705F48" w:rsidTr="00DF3985">
        <w:trPr>
          <w:trHeight w:val="540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spacing w:line="276" w:lineRule="auto"/>
            </w:pPr>
            <w:r w:rsidRPr="00705F48">
              <w:rPr>
                <w:rFonts w:eastAsia="Calibri"/>
                <w:b/>
                <w:lang w:eastAsia="en-US"/>
              </w:rPr>
              <w:t>Hedef 2.1.</w:t>
            </w:r>
            <w:r w:rsidRPr="00705F48">
              <w:t xml:space="preserve"> </w:t>
            </w:r>
            <w:r w:rsidRPr="00705F48">
              <w:rPr>
                <w:rFonts w:eastAsia="Calibri"/>
                <w:lang w:eastAsia="en-US"/>
              </w:rPr>
              <w:t>Metalik maden ve endüstriyel hammadde aramalarına yönelik çalışmalar yürütmek ve yeni kaynakların keşfine katkıda bulunmak</w:t>
            </w:r>
            <w:r w:rsidRPr="00705F48">
              <w:t xml:space="preserve"> </w:t>
            </w:r>
          </w:p>
          <w:p w:rsidR="00D90FCF" w:rsidRPr="001A19C6" w:rsidRDefault="00D90FCF" w:rsidP="00DF3985">
            <w:pPr>
              <w:spacing w:line="276" w:lineRule="auto"/>
            </w:pPr>
            <w:r w:rsidRPr="00705F48">
              <w:rPr>
                <w:b/>
              </w:rPr>
              <w:t>Hedef 2.2.</w:t>
            </w:r>
            <w:r w:rsidRPr="00705F48">
              <w:t xml:space="preserve"> Enerji hammaddeleri ile ilgili keşif ve etüt çalışmalarını artırarak devam ettirmek</w:t>
            </w:r>
          </w:p>
          <w:p w:rsidR="00D90FCF" w:rsidRPr="00705F48" w:rsidRDefault="00D90FCF" w:rsidP="00DF3985">
            <w:pPr>
              <w:spacing w:line="276" w:lineRule="auto"/>
              <w:rPr>
                <w:b/>
              </w:rPr>
            </w:pPr>
            <w:r w:rsidRPr="00705F48">
              <w:rPr>
                <w:b/>
              </w:rPr>
              <w:t>Hedef 2.3.</w:t>
            </w:r>
            <w:r w:rsidRPr="00705F48">
              <w:t xml:space="preserve"> Ülkemizin metalik maden, endüstriyel hammadde ve jeotermal kaynak </w:t>
            </w:r>
            <w:proofErr w:type="gramStart"/>
            <w:r w:rsidRPr="00705F48">
              <w:t>envanterlerini</w:t>
            </w:r>
            <w:proofErr w:type="gramEnd"/>
            <w:r w:rsidRPr="00705F48">
              <w:t xml:space="preserve"> hazırlamak ve güncellemek</w:t>
            </w:r>
          </w:p>
          <w:p w:rsidR="00D90FCF" w:rsidRPr="00705F48" w:rsidRDefault="00D90FCF" w:rsidP="00DF3985">
            <w:pPr>
              <w:spacing w:line="276" w:lineRule="auto"/>
            </w:pPr>
            <w:r w:rsidRPr="00705F48">
              <w:rPr>
                <w:b/>
              </w:rPr>
              <w:t>Hedef 2.4.</w:t>
            </w:r>
            <w:r w:rsidRPr="00705F48">
              <w:t xml:space="preserve"> Maden ve enerji hammaddelerinin aranmasında uluslararası standartlara uygun çalışma yaparak rezerv güvenilirliğinin artırılmasına katkıda bulunmak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05F48">
              <w:rPr>
                <w:rFonts w:eastAsia="Calibri"/>
                <w:b/>
                <w:lang w:eastAsia="en-US"/>
              </w:rPr>
              <w:t>Hedef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05F48">
              <w:rPr>
                <w:rFonts w:eastAsia="Calibri"/>
                <w:b/>
                <w:lang w:eastAsia="en-US"/>
              </w:rPr>
              <w:t xml:space="preserve">2.5. </w:t>
            </w:r>
            <w:r w:rsidRPr="00705F48">
              <w:rPr>
                <w:rFonts w:eastAsia="Calibri"/>
                <w:lang w:eastAsia="en-US"/>
              </w:rPr>
              <w:t>Yurtdışında Ülkemizin ihtiyacı olan önemli hammaddelerin tedarikine yönelik arama ve araştırma</w:t>
            </w:r>
            <w:r w:rsidRPr="00705F48">
              <w:rPr>
                <w:rFonts w:eastAsia="Calibri"/>
                <w:b/>
                <w:lang w:eastAsia="en-US"/>
              </w:rPr>
              <w:t xml:space="preserve"> </w:t>
            </w:r>
            <w:r w:rsidRPr="00705F48">
              <w:rPr>
                <w:rFonts w:eastAsia="Calibri"/>
                <w:lang w:eastAsia="en-US"/>
              </w:rPr>
              <w:t>çalışmalarını yürütmek</w:t>
            </w:r>
          </w:p>
        </w:tc>
      </w:tr>
      <w:tr w:rsidR="00D90FCF" w:rsidRPr="00705F48" w:rsidTr="00DF3985">
        <w:trPr>
          <w:trHeight w:val="400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1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05F48">
              <w:rPr>
                <w:rFonts w:eastAsia="Calibri"/>
                <w:b/>
                <w:lang w:eastAsia="en-US"/>
              </w:rPr>
              <w:t>Performans Hedefi.2.</w:t>
            </w:r>
            <w:r w:rsidRPr="00705F48">
              <w:t xml:space="preserve"> </w:t>
            </w:r>
            <w:r w:rsidRPr="00705F48">
              <w:rPr>
                <w:rFonts w:eastAsia="Calibri"/>
                <w:lang w:eastAsia="en-US"/>
              </w:rPr>
              <w:t>Metalik maden, endüstriyel ve enerji hammaddelerinde yeni kaynaklar araştırmak</w:t>
            </w:r>
          </w:p>
        </w:tc>
      </w:tr>
      <w:tr w:rsidR="00D90FCF" w:rsidRPr="00705F48" w:rsidTr="00DF3985">
        <w:trPr>
          <w:trHeight w:val="38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05F48">
              <w:rPr>
                <w:rFonts w:eastAsiaTheme="minorHAnsi"/>
                <w:lang w:eastAsia="en-US"/>
              </w:rPr>
              <w:t>Metalik maden sondajı m/yıl (183.450)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05F48">
              <w:rPr>
                <w:rFonts w:eastAsiaTheme="minorHAnsi"/>
                <w:lang w:eastAsia="en-US"/>
              </w:rPr>
              <w:t>Endüstriyel hammadde sondajı m/yıl (152.000)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05F48">
              <w:rPr>
                <w:rFonts w:eastAsiaTheme="minorHAnsi"/>
                <w:lang w:eastAsia="en-US"/>
              </w:rPr>
              <w:t>Kompilasyon/</w:t>
            </w:r>
            <w:proofErr w:type="gramStart"/>
            <w:r w:rsidRPr="00705F48">
              <w:rPr>
                <w:rFonts w:eastAsiaTheme="minorHAnsi"/>
                <w:lang w:eastAsia="en-US"/>
              </w:rPr>
              <w:t>revizyon</w:t>
            </w:r>
            <w:proofErr w:type="gramEnd"/>
            <w:r w:rsidRPr="00705F48">
              <w:rPr>
                <w:rFonts w:eastAsiaTheme="minorHAnsi"/>
                <w:lang w:eastAsia="en-US"/>
              </w:rPr>
              <w:t xml:space="preserve">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(2.215)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lang w:eastAsia="en-US"/>
              </w:rPr>
              <w:t>Prospeksiyon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(826.140)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05F48">
              <w:rPr>
                <w:rFonts w:eastAsiaTheme="minorHAnsi"/>
                <w:lang w:eastAsia="en-US"/>
              </w:rPr>
              <w:t>Maden jeolojisi etüdü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(2.025)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lang w:eastAsia="en-US"/>
              </w:rPr>
              <w:t>Topografik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harita alımı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(10)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lang w:eastAsia="en-US"/>
              </w:rPr>
              <w:t>Jeokimyasal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Etüt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(808.936)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05F48">
              <w:rPr>
                <w:rFonts w:eastAsiaTheme="minorHAnsi"/>
                <w:lang w:eastAsia="en-US"/>
              </w:rPr>
              <w:t>Yarma/galeri 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3</w:t>
            </w:r>
            <w:r w:rsidRPr="00705F48">
              <w:rPr>
                <w:rFonts w:eastAsiaTheme="minorHAnsi"/>
                <w:lang w:eastAsia="en-US"/>
              </w:rPr>
              <w:t>/yıl (3.900)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Maden aramalarına yönelik jeofizik etüt km/yıl (40)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Maden aramalarına yönelik jeofizik etüt nokta/yıl (15.000)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Uzaktan Algılama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(8.700)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Enerji hammadde aramalarına yönelik yapılan </w:t>
            </w:r>
            <w:proofErr w:type="spellStart"/>
            <w:r w:rsidRPr="00705F48">
              <w:rPr>
                <w:rFonts w:eastAsiaTheme="minorHAnsi"/>
                <w:lang w:eastAsia="en-US"/>
              </w:rPr>
              <w:t>prospeksiyon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(22.200)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Kömür etüdü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(3.500)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Kömür aramaları sondajı m /yıl (82.000)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Jeotermal etüt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(200)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Jeotermal kaynak aramaları sondajı m /yıl (2.500)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Radyoaktif hammadde aramaları etüdü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(2.000)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18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Radyoaktif hammadde aramaları sondajı m/yıl (40.000)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Hidrojeolojik etüt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(2.000)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Hidrojeoloji sondajı m/yıl (10.000)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21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Hidrojeoloji pompa testi adet/yıl (8)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Jeotermal kaynak koruma alanı etüt sayısı/yıl (5)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Enerji hammaddelerine yönelik jeofizik etüt km/yıl (40)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Enerji hammaddelerine yönelik jeofizik etüt nokta/yıl (9.000)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Enerji hammaddelerine yönelik </w:t>
            </w:r>
            <w:proofErr w:type="spellStart"/>
            <w:r w:rsidRPr="00705F48">
              <w:rPr>
                <w:rFonts w:eastAsiaTheme="minorHAnsi"/>
                <w:lang w:eastAsia="en-US"/>
              </w:rPr>
              <w:t>well-logging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(kuyu </w:t>
            </w:r>
            <w:proofErr w:type="spellStart"/>
            <w:r w:rsidRPr="00705F48">
              <w:rPr>
                <w:rFonts w:eastAsiaTheme="minorHAnsi"/>
                <w:lang w:eastAsia="en-US"/>
              </w:rPr>
              <w:t>logu</w:t>
            </w:r>
            <w:proofErr w:type="spellEnd"/>
            <w:r w:rsidRPr="00705F48">
              <w:rPr>
                <w:rFonts w:eastAsiaTheme="minorHAnsi"/>
                <w:lang w:eastAsia="en-US"/>
              </w:rPr>
              <w:t>) m/yıl (349.000)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26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Jeotermal ruhsat denetim hizmeti sayısı/yıl (25)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27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lang w:eastAsia="en-US"/>
              </w:rPr>
              <w:t>Jeoteknik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sondaj m/yıl (20.000)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28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lang w:eastAsia="en-US"/>
              </w:rPr>
              <w:t>Jeoteknik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etüt km</w:t>
            </w:r>
            <w:r w:rsidRPr="00705F48">
              <w:rPr>
                <w:rFonts w:eastAsiaTheme="minorHAnsi"/>
                <w:vertAlign w:val="superscript"/>
                <w:lang w:eastAsia="en-US"/>
              </w:rPr>
              <w:t>2</w:t>
            </w:r>
            <w:r w:rsidRPr="00705F48">
              <w:rPr>
                <w:rFonts w:eastAsiaTheme="minorHAnsi"/>
                <w:lang w:eastAsia="en-US"/>
              </w:rPr>
              <w:t>/yıl (50)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05F48">
              <w:rPr>
                <w:rFonts w:eastAsiaTheme="minorHAnsi"/>
                <w:lang w:eastAsia="en-US"/>
              </w:rPr>
              <w:t>Jeoteknik</w:t>
            </w:r>
            <w:proofErr w:type="spellEnd"/>
            <w:r w:rsidRPr="00705F48">
              <w:rPr>
                <w:rFonts w:eastAsiaTheme="minorHAnsi"/>
                <w:lang w:eastAsia="en-US"/>
              </w:rPr>
              <w:t xml:space="preserve"> kuyu takibi m/yıl (40.000)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Laboratuvar test sayısı/yıl (15.000)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</w:t>
            </w:r>
            <w:r w:rsidRPr="00705F48">
              <w:rPr>
                <w:rFonts w:eastAsiaTheme="minorHAnsi"/>
                <w:b/>
                <w:lang w:eastAsia="en-US"/>
              </w:rPr>
              <w:t>.</w:t>
            </w:r>
            <w:r w:rsidRPr="00705F48">
              <w:rPr>
                <w:rFonts w:eastAsiaTheme="minorHAnsi"/>
                <w:lang w:eastAsia="en-US"/>
              </w:rPr>
              <w:t xml:space="preserve"> Maden arama sondajı m/yıl (500.000)</w:t>
            </w:r>
          </w:p>
        </w:tc>
      </w:tr>
      <w:tr w:rsidR="00D90FCF" w:rsidRPr="00705F48" w:rsidTr="00DF3985">
        <w:trPr>
          <w:trHeight w:val="32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Faaliyet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Pr="00705F48">
              <w:rPr>
                <w:rFonts w:eastAsia="Calibri"/>
                <w:b/>
                <w:lang w:eastAsia="en-US"/>
              </w:rPr>
              <w:t>.</w:t>
            </w:r>
            <w:r w:rsidRPr="00705F48">
              <w:rPr>
                <w:rFonts w:eastAsia="Calibri"/>
                <w:lang w:eastAsia="en-US"/>
              </w:rPr>
              <w:t xml:space="preserve"> Metalik maden ve endüstriyel hammadde aramaları faaliyeti</w:t>
            </w:r>
          </w:p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705F48">
              <w:rPr>
                <w:rFonts w:eastAsia="Calibri"/>
                <w:lang w:eastAsia="en-US"/>
              </w:rPr>
              <w:t>. Enerji hammadde aramaları faaliyeti</w:t>
            </w:r>
          </w:p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Pr="00705F48">
              <w:rPr>
                <w:rFonts w:eastAsia="Calibri"/>
                <w:lang w:eastAsia="en-US"/>
              </w:rPr>
              <w:t>. Sondaj faaliyeti</w:t>
            </w:r>
          </w:p>
        </w:tc>
      </w:tr>
      <w:tr w:rsidR="00D90FCF" w:rsidRPr="00705F48" w:rsidTr="00DF3985">
        <w:trPr>
          <w:trHeight w:val="110"/>
          <w:jc w:val="center"/>
        </w:trPr>
        <w:tc>
          <w:tcPr>
            <w:tcW w:w="15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2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3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4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22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10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11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12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13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14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15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16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17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18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19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20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21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22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23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24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25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26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27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28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29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30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b/>
                <w:color w:val="000000" w:themeColor="text1"/>
                <w:sz w:val="22"/>
                <w:szCs w:val="22"/>
              </w:rPr>
              <w:t>PG 31</w:t>
            </w:r>
          </w:p>
        </w:tc>
        <w:tc>
          <w:tcPr>
            <w:tcW w:w="14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87"/>
          <w:jc w:val="center"/>
        </w:trPr>
        <w:tc>
          <w:tcPr>
            <w:tcW w:w="9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Bilgi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F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8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F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8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F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8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tbl>
      <w:tblPr>
        <w:tblW w:w="154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9"/>
        <w:gridCol w:w="3521"/>
        <w:gridCol w:w="4267"/>
      </w:tblGrid>
      <w:tr w:rsidR="00D90FCF" w:rsidRPr="00705F48" w:rsidTr="00DF3985">
        <w:trPr>
          <w:trHeight w:val="615"/>
          <w:jc w:val="center"/>
        </w:trPr>
        <w:tc>
          <w:tcPr>
            <w:tcW w:w="7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14" w:lineRule="atLeast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 xml:space="preserve">Maden Tetkik ve Arama Genel Müdürlüğü’nün 2018-2021 Dönemi Stratejik Planı </w:t>
            </w:r>
          </w:p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>2019 Yılı Performans Programı</w:t>
            </w:r>
          </w:p>
        </w:tc>
      </w:tr>
      <w:tr w:rsidR="00D90FCF" w:rsidRPr="00705F48" w:rsidTr="00DF3985">
        <w:trPr>
          <w:trHeight w:val="648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76" w:lineRule="auto"/>
            </w:pPr>
            <w:r w:rsidRPr="00705F48">
              <w:rPr>
                <w:rFonts w:eastAsia="Calibri"/>
                <w:b/>
                <w:bCs/>
                <w:lang w:eastAsia="en-US"/>
              </w:rPr>
              <w:t>Stratejik Amaç 3.</w:t>
            </w:r>
            <w:r w:rsidRPr="00705F48">
              <w:t xml:space="preserve"> Yer bilimleri ve Madencilik Alanın-da; Ülkemiz İhtiyaçları Doğrultusunda Teknolojik Çalışmalar Yapmak, Analiz/Test Hizmetleri Geliştirmek, Çeşitlendirmek ve Hızlandırma</w:t>
            </w:r>
          </w:p>
        </w:tc>
      </w:tr>
      <w:tr w:rsidR="00D90FCF" w:rsidRPr="00705F48" w:rsidTr="00DF3985">
        <w:trPr>
          <w:trHeight w:val="540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spacing w:line="276" w:lineRule="auto"/>
            </w:pPr>
            <w:r w:rsidRPr="00705F48">
              <w:rPr>
                <w:rFonts w:eastAsia="Calibri"/>
                <w:b/>
                <w:lang w:eastAsia="en-US"/>
              </w:rPr>
              <w:t>Hedef 3.1.</w:t>
            </w:r>
            <w:r w:rsidRPr="00705F48">
              <w:t xml:space="preserve"> Uluslararası standartlara uygun analiz/test kalitesinin sürekliliğini sağlayarak kapasitesini, çeşitliliğini ve hızını artırmak</w:t>
            </w:r>
          </w:p>
          <w:p w:rsidR="00D90FCF" w:rsidRPr="00705F48" w:rsidRDefault="00D90FCF" w:rsidP="00DF3985">
            <w:pPr>
              <w:spacing w:line="276" w:lineRule="auto"/>
            </w:pPr>
            <w:r w:rsidRPr="00705F48">
              <w:rPr>
                <w:b/>
              </w:rPr>
              <w:t>Hedef 3.2.</w:t>
            </w:r>
            <w:r w:rsidRPr="00705F48">
              <w:t xml:space="preserve"> Bilimsel ve teknolojik çalışmalar yapmak, bilgi ve teknoloji üretmek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05F48">
              <w:rPr>
                <w:b/>
              </w:rPr>
              <w:t>Hedef 3.3.</w:t>
            </w:r>
            <w:r w:rsidRPr="00705F48">
              <w:t xml:space="preserve"> </w:t>
            </w:r>
            <w:proofErr w:type="spellStart"/>
            <w:r w:rsidRPr="00705F48">
              <w:t>Karot</w:t>
            </w:r>
            <w:proofErr w:type="spellEnd"/>
            <w:r w:rsidRPr="00705F48">
              <w:t xml:space="preserve"> bilgi bankası arşiv kapasitesini kurumumuz ve Ülkemiz ihtiyacını karşılayacak şekilde artırmak</w:t>
            </w:r>
          </w:p>
        </w:tc>
      </w:tr>
      <w:tr w:rsidR="00D90FCF" w:rsidRPr="00705F48" w:rsidTr="00DF3985">
        <w:trPr>
          <w:trHeight w:val="400"/>
          <w:jc w:val="center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Performans Hedefi </w:t>
            </w:r>
            <w:r w:rsidRPr="00705F48">
              <w:rPr>
                <w:rFonts w:eastAsia="Calibri"/>
                <w:b/>
                <w:lang w:eastAsia="en-US"/>
              </w:rPr>
              <w:t>3.</w:t>
            </w:r>
            <w:r w:rsidRPr="00705F48">
              <w:t xml:space="preserve"> </w:t>
            </w:r>
            <w:r w:rsidRPr="00705F48">
              <w:rPr>
                <w:rFonts w:eastAsia="Calibri"/>
                <w:bCs/>
                <w:lang w:eastAsia="en-US"/>
              </w:rPr>
              <w:t>Yer bilimleri ve madencilik alanında; ülkemiz ihtiyaçları doğrultusunda teknolojik çalışmalar yapmak, analiz/test hizmetleri geliştirmek, çeşitlendirmek ve hızlandırmak</w:t>
            </w:r>
          </w:p>
        </w:tc>
      </w:tr>
      <w:tr w:rsidR="00D90FCF" w:rsidRPr="00705F48" w:rsidTr="00DF3985">
        <w:trPr>
          <w:trHeight w:val="181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1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 xml:space="preserve">. 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>Analiz/test kapasite artırım oranı/yıl (%10)</w:t>
            </w:r>
          </w:p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2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>.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 xml:space="preserve"> Kapsama ilave edilecek akredite parametre sayısı/yıl (2)</w:t>
            </w:r>
          </w:p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3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 xml:space="preserve">. 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>Kimyasal-mineralojik-petrografik analizleri yapılan numune sayısı/yıl (400.000)</w:t>
            </w:r>
          </w:p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4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>.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 xml:space="preserve"> Bilimsel/teknolojik çalışma sayısı/yıl (14)</w:t>
            </w:r>
          </w:p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5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>.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 xml:space="preserve"> Teknolojik analiz/testleri yapılan numune sayısı/yıl (3.300)</w:t>
            </w:r>
          </w:p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6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>.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>Teknolojik analiz/test (parametre) sayısı/yıl (25.300)</w:t>
            </w:r>
          </w:p>
          <w:p w:rsidR="00D90FCF" w:rsidRPr="00705F48" w:rsidRDefault="00D90FCF" w:rsidP="00DF398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7</w:t>
            </w:r>
            <w:r w:rsidRPr="00705F48">
              <w:rPr>
                <w:rFonts w:eastAsia="Calibri"/>
                <w:b/>
                <w:bCs/>
                <w:szCs w:val="22"/>
                <w:lang w:eastAsia="en-US"/>
              </w:rPr>
              <w:t>.</w:t>
            </w:r>
            <w:r w:rsidRPr="00705F48">
              <w:rPr>
                <w:rFonts w:eastAsia="Calibri"/>
                <w:bCs/>
                <w:szCs w:val="22"/>
                <w:lang w:eastAsia="en-US"/>
              </w:rPr>
              <w:t xml:space="preserve"> Arşivlenen </w:t>
            </w:r>
            <w:proofErr w:type="spellStart"/>
            <w:r w:rsidRPr="00705F48">
              <w:rPr>
                <w:rFonts w:eastAsia="Calibri"/>
                <w:bCs/>
                <w:szCs w:val="22"/>
                <w:lang w:eastAsia="en-US"/>
              </w:rPr>
              <w:t>karot</w:t>
            </w:r>
            <w:proofErr w:type="spellEnd"/>
            <w:r w:rsidRPr="00705F48">
              <w:rPr>
                <w:rFonts w:eastAsia="Calibri"/>
                <w:bCs/>
                <w:szCs w:val="22"/>
                <w:lang w:eastAsia="en-US"/>
              </w:rPr>
              <w:t xml:space="preserve"> sandık sayısı/yıl (100.000)</w:t>
            </w:r>
          </w:p>
        </w:tc>
      </w:tr>
      <w:tr w:rsidR="00D90FCF" w:rsidRPr="00705F48" w:rsidTr="00DF3985">
        <w:trPr>
          <w:trHeight w:val="52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Faaliye1iyet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Pr="00705F48">
              <w:rPr>
                <w:rFonts w:eastAsia="Calibri"/>
                <w:b/>
                <w:lang w:eastAsia="en-US"/>
              </w:rPr>
              <w:t>.</w:t>
            </w:r>
            <w:r w:rsidRPr="00705F48">
              <w:rPr>
                <w:rFonts w:eastAsia="Calibri"/>
                <w:lang w:eastAsia="en-US"/>
              </w:rPr>
              <w:t xml:space="preserve"> Teknoloji araştırmaları faaliyeti</w:t>
            </w:r>
          </w:p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705F48">
              <w:rPr>
                <w:rFonts w:eastAsia="Calibri"/>
                <w:b/>
                <w:lang w:eastAsia="en-US"/>
              </w:rPr>
              <w:t>.</w:t>
            </w:r>
            <w:r w:rsidRPr="00705F48">
              <w:rPr>
                <w:rFonts w:eastAsia="Calibri"/>
                <w:lang w:eastAsia="en-US"/>
              </w:rPr>
              <w:t xml:space="preserve"> Analiz/test faaliyeti</w:t>
            </w:r>
          </w:p>
        </w:tc>
      </w:tr>
      <w:tr w:rsidR="00D90FCF" w:rsidRPr="00705F48" w:rsidTr="00DF3985">
        <w:trPr>
          <w:trHeight w:val="110"/>
          <w:jc w:val="center"/>
        </w:trPr>
        <w:tc>
          <w:tcPr>
            <w:tcW w:w="15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2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3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4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5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6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PG 7</w:t>
            </w:r>
          </w:p>
        </w:tc>
        <w:tc>
          <w:tcPr>
            <w:tcW w:w="14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87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Bilgi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F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90FCF" w:rsidRPr="00705F48" w:rsidRDefault="00D90FCF" w:rsidP="00DF39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1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F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p w:rsidR="00D90FCF" w:rsidRPr="00705F48" w:rsidRDefault="00D90FCF" w:rsidP="00D90FCF">
      <w:pPr>
        <w:rPr>
          <w:sz w:val="22"/>
          <w:szCs w:val="22"/>
        </w:rPr>
      </w:pPr>
    </w:p>
    <w:tbl>
      <w:tblPr>
        <w:tblW w:w="149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5776"/>
        <w:gridCol w:w="1859"/>
        <w:gridCol w:w="5669"/>
      </w:tblGrid>
      <w:tr w:rsidR="00D90FCF" w:rsidRPr="00705F48" w:rsidTr="00DF3985">
        <w:trPr>
          <w:trHeight w:val="563"/>
          <w:jc w:val="center"/>
        </w:trPr>
        <w:tc>
          <w:tcPr>
            <w:tcW w:w="7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14" w:lineRule="atLeast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 xml:space="preserve">Maden Tetkik ve Arama Genel Müdürlüğü’nün 2018-2021 Dönemi Stratejik Planı </w:t>
            </w:r>
          </w:p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>2019 Yılı Performans Programı</w:t>
            </w:r>
          </w:p>
        </w:tc>
      </w:tr>
      <w:tr w:rsidR="00D90FCF" w:rsidRPr="00705F48" w:rsidTr="00DF3985">
        <w:trPr>
          <w:trHeight w:val="305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76" w:lineRule="auto"/>
              <w:rPr>
                <w:sz w:val="22"/>
                <w:szCs w:val="22"/>
              </w:rPr>
            </w:pPr>
            <w:r w:rsidRPr="00705F4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Stratejik Amaç 4.</w:t>
            </w:r>
            <w:r w:rsidRPr="00705F48">
              <w:t xml:space="preserve"> Doğa Tarihini Araştırarak Tanıtımını Sağlamak ve Jeolojik Mirasın Korunmasına Katkıda Bulunmak</w:t>
            </w:r>
          </w:p>
        </w:tc>
      </w:tr>
      <w:tr w:rsidR="00D90FCF" w:rsidRPr="00705F48" w:rsidTr="00DF3985">
        <w:trPr>
          <w:trHeight w:val="540"/>
          <w:jc w:val="center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264C7C" w:rsidRDefault="00D90FCF" w:rsidP="00DF3985">
            <w:pPr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264C7C">
              <w:rPr>
                <w:rFonts w:eastAsia="Calibri"/>
                <w:b/>
                <w:szCs w:val="22"/>
                <w:lang w:eastAsia="en-US"/>
              </w:rPr>
              <w:t>Hedef 4.1.</w:t>
            </w:r>
            <w:r w:rsidRPr="00264C7C">
              <w:rPr>
                <w:sz w:val="28"/>
              </w:rPr>
              <w:t xml:space="preserve"> </w:t>
            </w:r>
            <w:r w:rsidRPr="00264C7C">
              <w:rPr>
                <w:rFonts w:eastAsia="Calibri"/>
                <w:szCs w:val="22"/>
                <w:lang w:eastAsia="en-US"/>
              </w:rPr>
              <w:t>Tabiat tarihi bilincini ve farkındalığını bilimsel, kültürel, sosyal faaliyetleri güçlendirerek artırmak</w:t>
            </w:r>
          </w:p>
          <w:p w:rsidR="00D90FCF" w:rsidRPr="00705F48" w:rsidRDefault="00D90FCF" w:rsidP="00DF3985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64C7C">
              <w:rPr>
                <w:rFonts w:eastAsia="Calibri"/>
                <w:b/>
                <w:szCs w:val="22"/>
                <w:lang w:eastAsia="en-US"/>
              </w:rPr>
              <w:t>Hedef 4.2.</w:t>
            </w:r>
            <w:r w:rsidRPr="00264C7C">
              <w:rPr>
                <w:sz w:val="28"/>
              </w:rPr>
              <w:t xml:space="preserve"> </w:t>
            </w:r>
            <w:r w:rsidRPr="00264C7C">
              <w:rPr>
                <w:rFonts w:eastAsia="Calibri"/>
                <w:szCs w:val="22"/>
                <w:lang w:eastAsia="en-US"/>
              </w:rPr>
              <w:t xml:space="preserve">Ülkemizin jeolojik miras potansiyelini gösteren </w:t>
            </w:r>
            <w:proofErr w:type="gramStart"/>
            <w:r w:rsidRPr="00264C7C">
              <w:rPr>
                <w:rFonts w:eastAsia="Calibri"/>
                <w:szCs w:val="22"/>
                <w:lang w:eastAsia="en-US"/>
              </w:rPr>
              <w:t>envanter</w:t>
            </w:r>
            <w:proofErr w:type="gramEnd"/>
            <w:r w:rsidRPr="00264C7C">
              <w:rPr>
                <w:rFonts w:eastAsia="Calibri"/>
                <w:szCs w:val="22"/>
                <w:lang w:eastAsia="en-US"/>
              </w:rPr>
              <w:t xml:space="preserve"> çalışmalarını gerçekleştirmek</w:t>
            </w:r>
          </w:p>
        </w:tc>
      </w:tr>
      <w:tr w:rsidR="00D90FCF" w:rsidRPr="00705F48" w:rsidTr="00DF3985">
        <w:trPr>
          <w:trHeight w:val="400"/>
          <w:jc w:val="center"/>
        </w:trPr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33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64C7C">
              <w:rPr>
                <w:rFonts w:eastAsia="Calibri"/>
                <w:b/>
                <w:szCs w:val="22"/>
                <w:lang w:eastAsia="en-US"/>
              </w:rPr>
              <w:t>Performans Hedefi 4.</w:t>
            </w:r>
            <w:r w:rsidRPr="00264C7C">
              <w:rPr>
                <w:sz w:val="28"/>
              </w:rPr>
              <w:t xml:space="preserve"> </w:t>
            </w:r>
            <w:r w:rsidRPr="00264C7C">
              <w:rPr>
                <w:rFonts w:eastAsia="Calibri"/>
                <w:bCs/>
                <w:szCs w:val="22"/>
                <w:lang w:eastAsia="en-US"/>
              </w:rPr>
              <w:t>Doğa tarihini araştırarak tanıtımını sağlamak.</w:t>
            </w:r>
          </w:p>
        </w:tc>
      </w:tr>
      <w:tr w:rsidR="00D90FCF" w:rsidRPr="00705F48" w:rsidTr="00DF3985">
        <w:trPr>
          <w:trHeight w:val="15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1.</w:t>
            </w:r>
            <w:r w:rsidRPr="00705F48">
              <w:rPr>
                <w:rFonts w:eastAsiaTheme="minorHAnsi"/>
                <w:szCs w:val="22"/>
                <w:lang w:eastAsia="en-US"/>
              </w:rPr>
              <w:t>Ziyaretçi sayısı/yıl (250.000)</w:t>
            </w:r>
          </w:p>
          <w:p w:rsidR="00D90FCF" w:rsidRPr="00705F48" w:rsidRDefault="00D90FCF" w:rsidP="00DF3985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2. </w:t>
            </w:r>
            <w:r w:rsidRPr="00705F48">
              <w:rPr>
                <w:rFonts w:eastAsiaTheme="minorHAnsi"/>
                <w:szCs w:val="22"/>
                <w:lang w:eastAsia="en-US"/>
              </w:rPr>
              <w:t>Basılı ve görsel tanıtım materyali hazırlama sayısı/yıl (8)</w:t>
            </w:r>
          </w:p>
          <w:p w:rsidR="00D90FCF" w:rsidRPr="00705F48" w:rsidRDefault="00D90FCF" w:rsidP="00DF3985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3.</w:t>
            </w:r>
            <w:r w:rsidRPr="00705F48">
              <w:rPr>
                <w:rFonts w:eastAsiaTheme="minorHAnsi"/>
                <w:szCs w:val="22"/>
                <w:lang w:eastAsia="en-US"/>
              </w:rPr>
              <w:t>Analiz yapılan örnek sayısı/yıl (100)</w:t>
            </w:r>
          </w:p>
          <w:p w:rsidR="00D90FCF" w:rsidRPr="00705F48" w:rsidRDefault="00D90FCF" w:rsidP="00DF3985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>4.</w:t>
            </w:r>
            <w:r w:rsidRPr="00705F48">
              <w:rPr>
                <w:rFonts w:eastAsiaTheme="minorHAnsi"/>
                <w:szCs w:val="22"/>
                <w:lang w:eastAsia="en-US"/>
              </w:rPr>
              <w:t>Prospeksiyon km2/yıl (1.080)</w:t>
            </w:r>
          </w:p>
          <w:p w:rsidR="00D90FCF" w:rsidRPr="00705F48" w:rsidRDefault="00D90FCF" w:rsidP="00DF3985">
            <w:pPr>
              <w:rPr>
                <w:rFonts w:eastAsiaTheme="minorHAnsi"/>
                <w:b/>
                <w:szCs w:val="22"/>
                <w:lang w:eastAsia="en-US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5. </w:t>
            </w:r>
            <w:r w:rsidRPr="00705F48">
              <w:rPr>
                <w:rFonts w:eastAsiaTheme="minorHAnsi"/>
                <w:szCs w:val="22"/>
                <w:lang w:eastAsia="en-US"/>
              </w:rPr>
              <w:t>Stratigrafik kesit ölçümü m/yıl (200)</w:t>
            </w:r>
          </w:p>
          <w:p w:rsidR="00D90FCF" w:rsidRPr="00705F48" w:rsidRDefault="00D90FCF" w:rsidP="00DF3985">
            <w:pPr>
              <w:rPr>
                <w:color w:val="000000"/>
                <w:kern w:val="24"/>
                <w:szCs w:val="22"/>
              </w:rPr>
            </w:pPr>
            <w:r w:rsidRPr="00705F48">
              <w:rPr>
                <w:rFonts w:eastAsiaTheme="minorHAnsi"/>
                <w:b/>
                <w:szCs w:val="22"/>
                <w:lang w:eastAsia="en-US"/>
              </w:rPr>
              <w:t xml:space="preserve">6. </w:t>
            </w:r>
            <w:r w:rsidRPr="00705F48">
              <w:rPr>
                <w:rFonts w:eastAsiaTheme="minorHAnsi"/>
                <w:szCs w:val="22"/>
                <w:lang w:eastAsia="en-US"/>
              </w:rPr>
              <w:t>Gezici müze ile Ankara çevresindeki ve/veya farklı illerdeki okullarda gerçekleştirilen eğitim ve tanıtım faaliyetleri sayısı/yıl (4)</w:t>
            </w:r>
          </w:p>
        </w:tc>
      </w:tr>
      <w:tr w:rsidR="00D90FCF" w:rsidRPr="00705F48" w:rsidTr="00DF3985">
        <w:trPr>
          <w:trHeight w:val="123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 w:rsidRPr="00705F48">
              <w:rPr>
                <w:rFonts w:eastAsia="Calibri"/>
                <w:b/>
                <w:lang w:eastAsia="en-US"/>
              </w:rPr>
              <w:t>1.</w:t>
            </w:r>
            <w:r w:rsidRPr="00705F48">
              <w:rPr>
                <w:rFonts w:eastAsia="Calibri"/>
                <w:lang w:eastAsia="en-US"/>
              </w:rPr>
              <w:t xml:space="preserve"> Müze araştırmaları faaliyeti</w:t>
            </w:r>
          </w:p>
        </w:tc>
      </w:tr>
      <w:tr w:rsidR="00D90FCF" w:rsidRPr="00705F48" w:rsidTr="00DF3985">
        <w:trPr>
          <w:trHeight w:val="110"/>
          <w:jc w:val="center"/>
        </w:trPr>
        <w:tc>
          <w:tcPr>
            <w:tcW w:w="14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2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5F48">
              <w:rPr>
                <w:b/>
                <w:color w:val="000000" w:themeColor="text1"/>
                <w:sz w:val="22"/>
                <w:szCs w:val="22"/>
              </w:rPr>
              <w:t>PG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87"/>
          <w:jc w:val="center"/>
        </w:trPr>
        <w:tc>
          <w:tcPr>
            <w:tcW w:w="9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Bilgi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D90FCF" w:rsidRPr="00705F48" w:rsidTr="00DF3985">
        <w:trPr>
          <w:trHeight w:val="417"/>
          <w:jc w:val="center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F </w:t>
            </w:r>
            <w:r w:rsidRPr="00705F4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90FCF" w:rsidRPr="00705F48" w:rsidRDefault="00D90FCF" w:rsidP="00DF39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p w:rsidR="00D90FCF" w:rsidRDefault="00D90FCF" w:rsidP="00D90FCF">
      <w:pPr>
        <w:rPr>
          <w:sz w:val="22"/>
          <w:szCs w:val="22"/>
        </w:rPr>
      </w:pPr>
    </w:p>
    <w:tbl>
      <w:tblPr>
        <w:tblW w:w="1491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5776"/>
        <w:gridCol w:w="1859"/>
        <w:gridCol w:w="5669"/>
      </w:tblGrid>
      <w:tr w:rsidR="00D90FCF" w:rsidRPr="00705F48" w:rsidTr="00DF3985">
        <w:trPr>
          <w:trHeight w:val="563"/>
        </w:trPr>
        <w:tc>
          <w:tcPr>
            <w:tcW w:w="7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spacing w:line="214" w:lineRule="atLeast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 xml:space="preserve">Maden Tetkik ve Arama Genel Müdürlüğü’nün 2018-2021 Dönemi Stratejik Planı </w:t>
            </w:r>
          </w:p>
          <w:p w:rsidR="00D90FCF" w:rsidRPr="00705F48" w:rsidRDefault="00D90FCF" w:rsidP="00DF3985">
            <w:pPr>
              <w:pStyle w:val="AralkYok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05F48">
              <w:rPr>
                <w:b/>
                <w:sz w:val="22"/>
                <w:szCs w:val="22"/>
              </w:rPr>
              <w:t>2019 Yılı Performans Programı</w:t>
            </w:r>
          </w:p>
        </w:tc>
      </w:tr>
      <w:tr w:rsidR="00D90FCF" w:rsidRPr="00705F48" w:rsidTr="00DF3985">
        <w:trPr>
          <w:trHeight w:val="305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C36CF6" w:rsidRDefault="00D90FCF" w:rsidP="00DF3985">
            <w:pPr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</w:t>
            </w:r>
            <w:r w:rsidRPr="00757CC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5- </w:t>
            </w:r>
            <w:r w:rsidRPr="00757CC7">
              <w:rPr>
                <w:rFonts w:eastAsia="Calibri"/>
                <w:bCs/>
                <w:sz w:val="22"/>
                <w:szCs w:val="22"/>
                <w:lang w:eastAsia="en-US"/>
              </w:rPr>
              <w:t>Kurumsal Yapıyı Geliştirmek ve Güçlendirmek</w:t>
            </w:r>
          </w:p>
          <w:p w:rsidR="00D90FCF" w:rsidRPr="00705F48" w:rsidRDefault="00D90FCF" w:rsidP="00DF39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540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57CC7" w:rsidRDefault="00D90FCF" w:rsidP="00DF3985">
            <w:r w:rsidRPr="00757CC7">
              <w:rPr>
                <w:rFonts w:eastAsia="Calibri"/>
                <w:b/>
                <w:sz w:val="22"/>
                <w:szCs w:val="22"/>
                <w:lang w:eastAsia="en-US"/>
              </w:rPr>
              <w:t>Hedef 5.1</w:t>
            </w:r>
            <w:r w:rsidRPr="00757CC7">
              <w:rPr>
                <w:rFonts w:eastAsia="Calibri"/>
                <w:sz w:val="22"/>
                <w:szCs w:val="22"/>
                <w:lang w:eastAsia="en-US"/>
              </w:rPr>
              <w:t xml:space="preserve"> Çalışanlara bireysel ve mesleki gelişim fırsatları oluşturmak ve yeni alınan personeli projelerde sorumluluk üstlenebilecek birikime kavuşturmak</w:t>
            </w:r>
          </w:p>
          <w:p w:rsidR="00D90FCF" w:rsidRPr="00757CC7" w:rsidRDefault="00D90FCF" w:rsidP="00DF3985">
            <w:r w:rsidRPr="00757CC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5.2 </w:t>
            </w:r>
            <w:r w:rsidRPr="00757CC7">
              <w:rPr>
                <w:rFonts w:eastAsia="Calibri"/>
                <w:sz w:val="22"/>
                <w:szCs w:val="22"/>
                <w:lang w:eastAsia="en-US"/>
              </w:rPr>
              <w:t>Tanıtım ve yayın faaliyetlerini geliştirmek</w:t>
            </w:r>
          </w:p>
          <w:p w:rsidR="00D90FCF" w:rsidRDefault="00D90FCF" w:rsidP="00DF398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57CC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Hedef 5.3 </w:t>
            </w:r>
            <w:r w:rsidRPr="00757CC7">
              <w:rPr>
                <w:rFonts w:eastAsia="Calibri"/>
                <w:sz w:val="22"/>
                <w:szCs w:val="22"/>
                <w:lang w:eastAsia="en-US"/>
              </w:rPr>
              <w:t>Uluslararası iş birliklerini arttırmak</w:t>
            </w:r>
          </w:p>
          <w:p w:rsidR="00D90FCF" w:rsidRPr="00264C7C" w:rsidRDefault="00D90FCF" w:rsidP="00DF398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64C7C">
              <w:rPr>
                <w:rFonts w:eastAsia="Calibri"/>
                <w:b/>
                <w:sz w:val="22"/>
                <w:szCs w:val="22"/>
                <w:lang w:eastAsia="en-US"/>
              </w:rPr>
              <w:t>Hedef 5.4</w:t>
            </w:r>
            <w:r w:rsidRPr="00264C7C">
              <w:rPr>
                <w:rFonts w:eastAsia="Calibri"/>
                <w:sz w:val="22"/>
                <w:szCs w:val="22"/>
                <w:lang w:eastAsia="en-US"/>
              </w:rPr>
              <w:t xml:space="preserve"> Bilişim ve iletişim teknolojilerini etkin ve efektif olarak kullanmak</w:t>
            </w:r>
          </w:p>
        </w:tc>
      </w:tr>
      <w:tr w:rsidR="00D90FCF" w:rsidRPr="00705F48" w:rsidTr="00DF3985">
        <w:trPr>
          <w:trHeight w:val="400"/>
        </w:trPr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330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64C7C">
              <w:rPr>
                <w:rFonts w:eastAsia="Calibri"/>
                <w:b/>
                <w:szCs w:val="22"/>
                <w:lang w:eastAsia="en-US"/>
              </w:rPr>
              <w:t>Performans Hedefi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Pr="00333996">
              <w:rPr>
                <w:rFonts w:eastAsia="Calibri"/>
                <w:bCs/>
                <w:color w:val="FF0000"/>
                <w:szCs w:val="22"/>
                <w:lang w:eastAsia="en-US"/>
              </w:rPr>
              <w:t>Performans programımda bu amaca yönelik performans hedefi belirlememiştir.</w:t>
            </w:r>
          </w:p>
        </w:tc>
      </w:tr>
      <w:tr w:rsidR="00D90FCF" w:rsidRPr="00705F48" w:rsidTr="00DF3985">
        <w:trPr>
          <w:trHeight w:val="936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/>
                <w:kern w:val="24"/>
                <w:szCs w:val="22"/>
              </w:rPr>
            </w:pPr>
            <w:r w:rsidRPr="00333996">
              <w:rPr>
                <w:rFonts w:eastAsia="Calibri"/>
                <w:bCs/>
                <w:color w:val="FF0000"/>
                <w:szCs w:val="22"/>
                <w:lang w:eastAsia="en-US"/>
              </w:rPr>
              <w:t>Performans programımda bu amaca yönelik performans göstergeleri belirlememiştir.</w:t>
            </w:r>
          </w:p>
        </w:tc>
      </w:tr>
      <w:tr w:rsidR="00D90FCF" w:rsidRPr="00705F48" w:rsidTr="00DF3985">
        <w:trPr>
          <w:trHeight w:val="410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rFonts w:eastAsia="Calibri"/>
                <w:lang w:eastAsia="en-US"/>
              </w:rPr>
            </w:pPr>
            <w:r w:rsidRPr="00333996">
              <w:rPr>
                <w:rFonts w:eastAsia="Calibri"/>
                <w:bCs/>
                <w:color w:val="FF0000"/>
                <w:szCs w:val="22"/>
                <w:lang w:eastAsia="en-US"/>
              </w:rPr>
              <w:t>Performans programımda bu amaca yönelik faaliyetler belirlememiştir.</w:t>
            </w:r>
          </w:p>
        </w:tc>
      </w:tr>
      <w:tr w:rsidR="00D90FCF" w:rsidRPr="00705F48" w:rsidTr="00DF3985">
        <w:trPr>
          <w:trHeight w:val="110"/>
        </w:trPr>
        <w:tc>
          <w:tcPr>
            <w:tcW w:w="14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D90FCF" w:rsidRPr="00705F48" w:rsidTr="00DF3985">
        <w:trPr>
          <w:trHeight w:val="52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90FCF" w:rsidRPr="00705F48" w:rsidTr="00DF3985">
        <w:trPr>
          <w:trHeight w:val="87"/>
        </w:trPr>
        <w:tc>
          <w:tcPr>
            <w:tcW w:w="9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Bilgi </w:t>
            </w:r>
            <w:r w:rsidRPr="00705F48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sz w:val="22"/>
                <w:szCs w:val="22"/>
              </w:rPr>
            </w:pPr>
            <w:r w:rsidRPr="00705F48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D90FCF" w:rsidRPr="00705F48" w:rsidTr="00DF3985">
        <w:trPr>
          <w:trHeight w:val="217"/>
        </w:trPr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D90FCF" w:rsidRPr="00705F48" w:rsidRDefault="00D90FCF" w:rsidP="00DF39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D90FCF" w:rsidRPr="00705F48" w:rsidRDefault="00D90FCF" w:rsidP="00DF39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D90FCF" w:rsidRPr="00705F48" w:rsidRDefault="00D90FCF" w:rsidP="00DF398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90FCF" w:rsidRPr="00705F48" w:rsidRDefault="00D90FCF" w:rsidP="00D90FCF">
      <w:pPr>
        <w:rPr>
          <w:sz w:val="22"/>
          <w:szCs w:val="22"/>
        </w:rPr>
        <w:sectPr w:rsidR="00D90FCF" w:rsidRPr="00705F48" w:rsidSect="004A43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90FCF" w:rsidRDefault="00D90FCF"/>
    <w:sectPr w:rsidR="00D90FCF" w:rsidSect="00D90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536"/>
    <w:multiLevelType w:val="hybridMultilevel"/>
    <w:tmpl w:val="1E6EC042"/>
    <w:lvl w:ilvl="0" w:tplc="3ADC7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4F0"/>
    <w:multiLevelType w:val="hybridMultilevel"/>
    <w:tmpl w:val="10FE48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FA5"/>
    <w:multiLevelType w:val="hybridMultilevel"/>
    <w:tmpl w:val="2E2A8E62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C0408C"/>
    <w:multiLevelType w:val="hybridMultilevel"/>
    <w:tmpl w:val="D5C0BEC2"/>
    <w:lvl w:ilvl="0" w:tplc="6D3E47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3E8A"/>
    <w:multiLevelType w:val="hybridMultilevel"/>
    <w:tmpl w:val="BFF8178E"/>
    <w:lvl w:ilvl="0" w:tplc="750E2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7DC"/>
    <w:multiLevelType w:val="hybridMultilevel"/>
    <w:tmpl w:val="72301108"/>
    <w:lvl w:ilvl="0" w:tplc="A4A26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D9D"/>
    <w:multiLevelType w:val="hybridMultilevel"/>
    <w:tmpl w:val="D382C73E"/>
    <w:lvl w:ilvl="0" w:tplc="AF667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7E1C"/>
    <w:multiLevelType w:val="hybridMultilevel"/>
    <w:tmpl w:val="8A86C0CE"/>
    <w:lvl w:ilvl="0" w:tplc="2C785DB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095"/>
    <w:multiLevelType w:val="hybridMultilevel"/>
    <w:tmpl w:val="EB3056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92004"/>
    <w:multiLevelType w:val="hybridMultilevel"/>
    <w:tmpl w:val="1194AE60"/>
    <w:lvl w:ilvl="0" w:tplc="60FAE1C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4C89"/>
    <w:multiLevelType w:val="hybridMultilevel"/>
    <w:tmpl w:val="A7421F36"/>
    <w:lvl w:ilvl="0" w:tplc="7BFE4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262C6"/>
    <w:multiLevelType w:val="hybridMultilevel"/>
    <w:tmpl w:val="12CC9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E0B32"/>
    <w:multiLevelType w:val="hybridMultilevel"/>
    <w:tmpl w:val="34A86B26"/>
    <w:lvl w:ilvl="0" w:tplc="E77C0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59FB"/>
    <w:multiLevelType w:val="hybridMultilevel"/>
    <w:tmpl w:val="1194AE60"/>
    <w:lvl w:ilvl="0" w:tplc="60FAE1C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54C1"/>
    <w:multiLevelType w:val="hybridMultilevel"/>
    <w:tmpl w:val="52003BAA"/>
    <w:lvl w:ilvl="0" w:tplc="C3005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35997"/>
    <w:multiLevelType w:val="hybridMultilevel"/>
    <w:tmpl w:val="8A86C0CE"/>
    <w:lvl w:ilvl="0" w:tplc="2C785DB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5196DAC"/>
    <w:multiLevelType w:val="hybridMultilevel"/>
    <w:tmpl w:val="BF68AAE8"/>
    <w:lvl w:ilvl="0" w:tplc="24F66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056A1"/>
    <w:multiLevelType w:val="hybridMultilevel"/>
    <w:tmpl w:val="07300F32"/>
    <w:lvl w:ilvl="0" w:tplc="8E84F6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53AEA"/>
    <w:multiLevelType w:val="hybridMultilevel"/>
    <w:tmpl w:val="67AA543A"/>
    <w:lvl w:ilvl="0" w:tplc="E6F0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64C63"/>
    <w:multiLevelType w:val="hybridMultilevel"/>
    <w:tmpl w:val="F818439E"/>
    <w:lvl w:ilvl="0" w:tplc="7630AE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96F03"/>
    <w:multiLevelType w:val="hybridMultilevel"/>
    <w:tmpl w:val="4BE64440"/>
    <w:lvl w:ilvl="0" w:tplc="D3C25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F1967"/>
    <w:multiLevelType w:val="hybridMultilevel"/>
    <w:tmpl w:val="54246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D0F0E"/>
    <w:multiLevelType w:val="hybridMultilevel"/>
    <w:tmpl w:val="67AA543A"/>
    <w:lvl w:ilvl="0" w:tplc="E6F0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4AB"/>
    <w:multiLevelType w:val="hybridMultilevel"/>
    <w:tmpl w:val="CC50A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D0429"/>
    <w:multiLevelType w:val="hybridMultilevel"/>
    <w:tmpl w:val="13F05DC0"/>
    <w:lvl w:ilvl="0" w:tplc="19089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2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9"/>
  </w:num>
  <w:num w:numId="10">
    <w:abstractNumId w:val="15"/>
  </w:num>
  <w:num w:numId="11">
    <w:abstractNumId w:val="13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17"/>
  </w:num>
  <w:num w:numId="21">
    <w:abstractNumId w:val="5"/>
  </w:num>
  <w:num w:numId="22">
    <w:abstractNumId w:val="19"/>
  </w:num>
  <w:num w:numId="23">
    <w:abstractNumId w:val="12"/>
  </w:num>
  <w:num w:numId="24">
    <w:abstractNumId w:val="21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CF"/>
    <w:rsid w:val="00267303"/>
    <w:rsid w:val="00316798"/>
    <w:rsid w:val="00D90FCF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CDE9"/>
  <w15:chartTrackingRefBased/>
  <w15:docId w15:val="{9924A41E-342C-44C8-AC96-C1FC3D4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90FCF"/>
    <w:pPr>
      <w:tabs>
        <w:tab w:val="left" w:pos="-3780"/>
        <w:tab w:val="left" w:pos="567"/>
        <w:tab w:val="right" w:leader="dot" w:pos="9360"/>
      </w:tabs>
      <w:spacing w:line="360" w:lineRule="auto"/>
      <w:jc w:val="center"/>
      <w:outlineLvl w:val="0"/>
    </w:pPr>
    <w:rPr>
      <w:b/>
      <w:bCs/>
      <w:noProof/>
      <w:color w:val="C00000"/>
      <w:sz w:val="36"/>
      <w:szCs w:val="36"/>
    </w:rPr>
  </w:style>
  <w:style w:type="paragraph" w:styleId="Balk2">
    <w:name w:val="heading 2"/>
    <w:basedOn w:val="Default"/>
    <w:next w:val="Normal"/>
    <w:link w:val="Balk2Char"/>
    <w:unhideWhenUsed/>
    <w:qFormat/>
    <w:rsid w:val="00D90FCF"/>
    <w:pPr>
      <w:jc w:val="center"/>
      <w:outlineLvl w:val="1"/>
    </w:pPr>
    <w:rPr>
      <w:b/>
      <w:bCs/>
      <w:color w:val="C00000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90FCF"/>
    <w:rPr>
      <w:rFonts w:ascii="Times New Roman" w:eastAsia="Times New Roman" w:hAnsi="Times New Roman" w:cs="Times New Roman"/>
      <w:b/>
      <w:bCs/>
      <w:noProof/>
      <w:color w:val="C00000"/>
      <w:sz w:val="36"/>
      <w:szCs w:val="36"/>
      <w:lang w:eastAsia="tr-TR"/>
    </w:rPr>
  </w:style>
  <w:style w:type="character" w:customStyle="1" w:styleId="Balk2Char">
    <w:name w:val="Başlık 2 Char"/>
    <w:basedOn w:val="VarsaylanParagrafYazTipi"/>
    <w:link w:val="Balk2"/>
    <w:rsid w:val="00D90FCF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paragraph" w:customStyle="1" w:styleId="Default">
    <w:name w:val="Default"/>
    <w:rsid w:val="00D9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90FCF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D90FCF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D90F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D90FCF"/>
    <w:rPr>
      <w:color w:val="0000FF"/>
      <w:u w:val="single"/>
    </w:rPr>
  </w:style>
  <w:style w:type="paragraph" w:styleId="NormalWeb">
    <w:name w:val="Normal (Web)"/>
    <w:basedOn w:val="Normal"/>
    <w:rsid w:val="00D90FCF"/>
  </w:style>
  <w:style w:type="paragraph" w:styleId="AltBilgi">
    <w:name w:val="footer"/>
    <w:basedOn w:val="Normal"/>
    <w:link w:val="AltBilgiChar"/>
    <w:uiPriority w:val="99"/>
    <w:rsid w:val="00D90F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0FC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90FCF"/>
  </w:style>
  <w:style w:type="paragraph" w:styleId="stBilgi">
    <w:name w:val="header"/>
    <w:basedOn w:val="Normal"/>
    <w:link w:val="stBilgiChar"/>
    <w:uiPriority w:val="99"/>
    <w:rsid w:val="00D90F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0F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D90FCF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90FCF"/>
    <w:rPr>
      <w:rFonts w:ascii="Tahoma" w:eastAsia="Times New Roman" w:hAnsi="Tahoma" w:cs="Times New Roman"/>
      <w:sz w:val="16"/>
      <w:szCs w:val="16"/>
      <w:lang w:eastAsia="tr-TR"/>
    </w:rPr>
  </w:style>
  <w:style w:type="character" w:styleId="DipnotBavurusu">
    <w:name w:val="footnote reference"/>
    <w:semiHidden/>
    <w:rsid w:val="00D90FCF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D90FCF"/>
    <w:pPr>
      <w:numPr>
        <w:numId w:val="1"/>
      </w:numPr>
    </w:pPr>
  </w:style>
  <w:style w:type="paragraph" w:customStyle="1" w:styleId="Text1">
    <w:name w:val="Text 1"/>
    <w:basedOn w:val="Normal"/>
    <w:rsid w:val="00D90FCF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D90FCF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D90FC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D90FC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D90FCF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D90FCF"/>
  </w:style>
  <w:style w:type="table" w:styleId="TabloKlavuzu">
    <w:name w:val="Table Grid"/>
    <w:basedOn w:val="NormalTablo"/>
    <w:uiPriority w:val="39"/>
    <w:rsid w:val="00D9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rsid w:val="00D90FCF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D90FCF"/>
    <w:rPr>
      <w:rFonts w:ascii="Times New Roman" w:eastAsia="Tahoma" w:hAnsi="Times New Roman" w:cs="Tahoma"/>
      <w:sz w:val="24"/>
      <w:szCs w:val="24"/>
      <w:lang w:bidi="en-US"/>
    </w:rPr>
  </w:style>
  <w:style w:type="paragraph" w:styleId="Altyaz">
    <w:name w:val="Subtitle"/>
    <w:basedOn w:val="Normal"/>
    <w:next w:val="Normal"/>
    <w:link w:val="AltyazChar"/>
    <w:qFormat/>
    <w:rsid w:val="00D90FCF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D90FCF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90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D90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D9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D90FCF"/>
    <w:pPr>
      <w:keepNext/>
      <w:keepLines/>
      <w:tabs>
        <w:tab w:val="clear" w:pos="-3780"/>
        <w:tab w:val="clear" w:pos="567"/>
        <w:tab w:val="clear" w:pos="93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D90FCF"/>
    <w:pPr>
      <w:tabs>
        <w:tab w:val="right" w:leader="dot" w:pos="9062"/>
      </w:tabs>
      <w:spacing w:after="100" w:line="360" w:lineRule="auto"/>
    </w:pPr>
  </w:style>
  <w:style w:type="paragraph" w:styleId="T2">
    <w:name w:val="toc 2"/>
    <w:basedOn w:val="Normal"/>
    <w:next w:val="Normal"/>
    <w:autoRedefine/>
    <w:uiPriority w:val="39"/>
    <w:rsid w:val="00D90FCF"/>
    <w:pPr>
      <w:tabs>
        <w:tab w:val="right" w:leader="dot" w:pos="9628"/>
      </w:tabs>
      <w:spacing w:after="100"/>
      <w:ind w:left="240"/>
    </w:pPr>
    <w:rPr>
      <w:noProof/>
      <w:sz w:val="28"/>
      <w:szCs w:val="36"/>
    </w:rPr>
  </w:style>
  <w:style w:type="character" w:customStyle="1" w:styleId="FontStyle121">
    <w:name w:val="Font Style121"/>
    <w:basedOn w:val="VarsaylanParagrafYazTipi"/>
    <w:uiPriority w:val="99"/>
    <w:rsid w:val="00D90FCF"/>
    <w:rPr>
      <w:rFonts w:ascii="Calibri" w:hAnsi="Calibri" w:cs="Calibri"/>
      <w:b/>
      <w:bCs/>
      <w:sz w:val="22"/>
      <w:szCs w:val="22"/>
    </w:rPr>
  </w:style>
  <w:style w:type="character" w:customStyle="1" w:styleId="FontStyle124">
    <w:name w:val="Font Style124"/>
    <w:basedOn w:val="VarsaylanParagrafYazTipi"/>
    <w:uiPriority w:val="99"/>
    <w:rsid w:val="00D90FCF"/>
    <w:rPr>
      <w:rFonts w:ascii="Calibri" w:hAnsi="Calibri" w:cs="Calibri"/>
      <w:sz w:val="22"/>
      <w:szCs w:val="22"/>
    </w:rPr>
  </w:style>
  <w:style w:type="character" w:customStyle="1" w:styleId="FontStyle143">
    <w:name w:val="Font Style143"/>
    <w:basedOn w:val="VarsaylanParagrafYazTipi"/>
    <w:uiPriority w:val="99"/>
    <w:rsid w:val="00D90FCF"/>
    <w:rPr>
      <w:rFonts w:ascii="Calibri" w:hAnsi="Calibri" w:cs="Calibri"/>
      <w:sz w:val="22"/>
      <w:szCs w:val="22"/>
    </w:rPr>
  </w:style>
  <w:style w:type="paragraph" w:customStyle="1" w:styleId="Style55">
    <w:name w:val="Style55"/>
    <w:basedOn w:val="Normal"/>
    <w:uiPriority w:val="99"/>
    <w:rsid w:val="00D90FCF"/>
    <w:pPr>
      <w:widowControl w:val="0"/>
      <w:autoSpaceDE w:val="0"/>
      <w:autoSpaceDN w:val="0"/>
      <w:adjustRightInd w:val="0"/>
      <w:spacing w:line="337" w:lineRule="exact"/>
      <w:jc w:val="both"/>
    </w:pPr>
    <w:rPr>
      <w:rFonts w:ascii="Calibri" w:eastAsiaTheme="minorEastAsia" w:hAnsi="Calibri" w:cstheme="minorBidi"/>
    </w:rPr>
  </w:style>
  <w:style w:type="character" w:customStyle="1" w:styleId="apple-converted-space">
    <w:name w:val="apple-converted-space"/>
    <w:basedOn w:val="VarsaylanParagrafYazTipi"/>
    <w:rsid w:val="00D90FCF"/>
  </w:style>
  <w:style w:type="paragraph" w:customStyle="1" w:styleId="3-NormalYaz">
    <w:name w:val="3-Normal Yazı"/>
    <w:rsid w:val="00D90FC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table" w:customStyle="1" w:styleId="TabloKlavuzu3">
    <w:name w:val="Tablo Kılavuzu3"/>
    <w:basedOn w:val="NormalTablo"/>
    <w:next w:val="TabloKlavuzu"/>
    <w:uiPriority w:val="59"/>
    <w:rsid w:val="00D90F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D90FCF"/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locked/>
    <w:rsid w:val="0031679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2020-01-02T07:40:00Z</dcterms:created>
  <dcterms:modified xsi:type="dcterms:W3CDTF">2020-01-02T07:58:00Z</dcterms:modified>
</cp:coreProperties>
</file>